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2BA2" w:rsidRPr="007D3146" w:rsidRDefault="00FC2BA2" w:rsidP="00FC2BA2">
      <w:pPr>
        <w:pStyle w:val="Titel2"/>
        <w:rPr>
          <w:sz w:val="32"/>
          <w:szCs w:val="32"/>
          <w:lang w:val="de-AT"/>
        </w:rPr>
      </w:pPr>
      <w:r>
        <w:rPr>
          <w:noProof/>
          <w:sz w:val="32"/>
          <w:szCs w:val="32"/>
          <w:lang w:val="sk-SK" w:eastAsia="sk-SK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5044440</wp:posOffset>
            </wp:positionH>
            <wp:positionV relativeFrom="paragraph">
              <wp:posOffset>-484505</wp:posOffset>
            </wp:positionV>
            <wp:extent cx="541020" cy="403225"/>
            <wp:effectExtent l="19050" t="0" r="0" b="0"/>
            <wp:wrapThrough wrapText="bothSides">
              <wp:wrapPolygon edited="0">
                <wp:start x="-761" y="0"/>
                <wp:lineTo x="-761" y="20409"/>
                <wp:lineTo x="21296" y="20409"/>
                <wp:lineTo x="21296" y="0"/>
                <wp:lineTo x="-761" y="0"/>
              </wp:wrapPolygon>
            </wp:wrapThrough>
            <wp:docPr id="6" name="Picture 2" descr="Leírás: https://encrypted-tbn2.gstatic.com/images?q=tbn:ANd9GcSsTguB0xdWQfc4dCkIhxz0eH9kqt0rOYTIVzS8ettA8QafgB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eírás: https://encrypted-tbn2.gstatic.com/images?q=tbn:ANd9GcSsTguB0xdWQfc4dCkIhxz0eH9kqt0rOYTIVzS8ettA8QafgB09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" cy="40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32"/>
          <w:szCs w:val="32"/>
          <w:lang w:val="sk-SK" w:eastAsia="sk-SK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-441960</wp:posOffset>
            </wp:positionH>
            <wp:positionV relativeFrom="paragraph">
              <wp:posOffset>-484505</wp:posOffset>
            </wp:positionV>
            <wp:extent cx="1737995" cy="403225"/>
            <wp:effectExtent l="19050" t="0" r="0" b="0"/>
            <wp:wrapSquare wrapText="bothSides"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175" t="23984" r="55746" b="637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995" cy="40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D3146">
        <w:rPr>
          <w:sz w:val="32"/>
          <w:szCs w:val="32"/>
          <w:lang w:val="de-AT"/>
        </w:rPr>
        <w:t>REG V-B D</w:t>
      </w:r>
      <w:r>
        <w:rPr>
          <w:sz w:val="32"/>
          <w:szCs w:val="32"/>
          <w:lang w:val="de-AT"/>
        </w:rPr>
        <w:t>UNAJ</w:t>
      </w:r>
      <w:r w:rsidRPr="007D3146">
        <w:rPr>
          <w:sz w:val="32"/>
          <w:szCs w:val="32"/>
          <w:lang w:val="de-AT"/>
        </w:rPr>
        <w:t>)</w:t>
      </w:r>
    </w:p>
    <w:p w:rsidR="00FC2BA2" w:rsidRPr="0024099C" w:rsidRDefault="00FC2BA2" w:rsidP="00FC2BA2">
      <w:pPr>
        <w:pStyle w:val="mStandard"/>
        <w:rPr>
          <w:lang w:val="sk-SK"/>
        </w:rPr>
      </w:pPr>
      <w:r>
        <w:rPr>
          <w:noProof/>
          <w:szCs w:val="24"/>
          <w:lang w:val="sk-SK" w:eastAsia="sk-SK"/>
        </w:rPr>
        <w:drawing>
          <wp:anchor distT="0" distB="0" distL="114300" distR="114300" simplePos="0" relativeHeight="251660288" behindDoc="1" locked="0" layoutInCell="1" allowOverlap="0">
            <wp:simplePos x="0" y="0"/>
            <wp:positionH relativeFrom="page">
              <wp:posOffset>79375</wp:posOffset>
            </wp:positionH>
            <wp:positionV relativeFrom="page">
              <wp:posOffset>154940</wp:posOffset>
            </wp:positionV>
            <wp:extent cx="7573010" cy="10713720"/>
            <wp:effectExtent l="19050" t="0" r="8890" b="0"/>
            <wp:wrapNone/>
            <wp:docPr id="4" name="Bild 3" descr="Titelhintergrund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itelhintergrund_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3010" cy="1071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93A26" w:rsidRPr="00893A26">
        <w:rPr>
          <w:noProof/>
          <w:szCs w:val="24"/>
          <w:lang w:val="sk-SK" w:eastAsia="sk-SK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" o:spid="_x0000_s1027" type="#_x0000_t202" style="position:absolute;left:0;text-align:left;margin-left:161.6pt;margin-top:583.5pt;width:414.4pt;height:86.55pt;z-index:-251654144;visibility:visible;mso-position-horizontal-relative:page;mso-position-vertical-relative:page" wrapcoords="-39 0 -39 21412 21600 21412 21600 0 -39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" stroked="f">
            <v:textbox inset="0,0,0,0">
              <w:txbxContent>
                <w:p w:rsidR="00FC2BA2" w:rsidRDefault="00FC2BA2" w:rsidP="00FC2BA2">
                  <w:pPr>
                    <w:pStyle w:val="Titel1"/>
                  </w:pPr>
                </w:p>
                <w:p w:rsidR="00FC2BA2" w:rsidRPr="00D049DA" w:rsidRDefault="00FC2BA2" w:rsidP="00FC2BA2">
                  <w:pPr>
                    <w:pStyle w:val="Titel1"/>
                  </w:pPr>
                  <w:r w:rsidRPr="00D049DA">
                    <w:t>NÁVRH KONEČNÉHO PROGRAMU SPOLUPRÁCE</w:t>
                  </w:r>
                </w:p>
                <w:p w:rsidR="00FC2BA2" w:rsidRPr="00D049DA" w:rsidRDefault="00FC2BA2" w:rsidP="00FC2BA2">
                  <w:pPr>
                    <w:pStyle w:val="Titel1"/>
                  </w:pPr>
                  <w:r w:rsidRPr="00D049DA">
                    <w:t xml:space="preserve">VerZIA 2.2, 3. </w:t>
                  </w:r>
                  <w:r>
                    <w:t>OKTÓBRA</w:t>
                  </w:r>
                  <w:r w:rsidRPr="00D049DA">
                    <w:t xml:space="preserve"> 2014 </w:t>
                  </w:r>
                </w:p>
              </w:txbxContent>
            </v:textbox>
            <w10:wrap type="tight" anchorx="page" anchory="page"/>
          </v:shape>
        </w:pict>
      </w:r>
      <w:r w:rsidR="00893A26" w:rsidRPr="00893A26">
        <w:rPr>
          <w:noProof/>
          <w:szCs w:val="24"/>
          <w:lang w:val="sk-SK" w:eastAsia="sk-SK"/>
        </w:rPr>
        <w:pict>
          <v:shape id="Text Box 2" o:spid="_x0000_s1026" type="#_x0000_t202" style="position:absolute;left:0;text-align:left;margin-left:161.6pt;margin-top:686.05pt;width:396.85pt;height:119.05pt;z-index:-251655168;visibility:visible;mso-position-horizontal-relative:page;mso-position-vertical-relative:page" wrapcoords="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" filled="f" stroked="f">
            <v:textbox inset="0,0,0,0">
              <w:txbxContent>
                <w:p w:rsidR="00FC2BA2" w:rsidRDefault="00FC2BA2" w:rsidP="00FC2BA2">
                  <w:pPr>
                    <w:pStyle w:val="Titel2"/>
                    <w:rPr>
                      <w:lang w:val="de-AT"/>
                    </w:rPr>
                  </w:pPr>
                  <w:r w:rsidRPr="00C11E05">
                    <w:rPr>
                      <w:lang w:val="de-AT"/>
                    </w:rPr>
                    <w:t>Du</w:t>
                  </w:r>
                  <w:r>
                    <w:rPr>
                      <w:lang w:val="de-AT"/>
                    </w:rPr>
                    <w:t>najský nadnárodný</w:t>
                  </w:r>
                  <w:r w:rsidRPr="00C11E05">
                    <w:rPr>
                      <w:lang w:val="de-AT"/>
                    </w:rPr>
                    <w:t xml:space="preserve"> </w:t>
                  </w:r>
                </w:p>
                <w:p w:rsidR="00FC2BA2" w:rsidRPr="00C11E05" w:rsidRDefault="00FC2BA2" w:rsidP="00FC2BA2">
                  <w:pPr>
                    <w:pStyle w:val="Titel2"/>
                    <w:rPr>
                      <w:lang w:val="de-AT"/>
                    </w:rPr>
                  </w:pPr>
                  <w:r>
                    <w:rPr>
                      <w:lang w:val="de-AT"/>
                    </w:rPr>
                    <w:t>program</w:t>
                  </w:r>
                  <w:r w:rsidRPr="00C11E05">
                    <w:rPr>
                      <w:lang w:val="de-AT"/>
                    </w:rPr>
                    <w:t xml:space="preserve"> 2014-2020 </w:t>
                  </w:r>
                </w:p>
                <w:p w:rsidR="00FC2BA2" w:rsidRPr="007D3146" w:rsidRDefault="00FC2BA2" w:rsidP="00FC2BA2">
                  <w:pPr>
                    <w:pStyle w:val="Titel2"/>
                    <w:rPr>
                      <w:sz w:val="32"/>
                      <w:szCs w:val="32"/>
                      <w:lang w:val="de-AT"/>
                    </w:rPr>
                  </w:pPr>
                  <w:r w:rsidRPr="007D3146">
                    <w:rPr>
                      <w:sz w:val="32"/>
                      <w:szCs w:val="32"/>
                      <w:lang w:val="de-AT"/>
                    </w:rPr>
                    <w:t>(INTERREG V-B D</w:t>
                  </w:r>
                  <w:r>
                    <w:rPr>
                      <w:sz w:val="32"/>
                      <w:szCs w:val="32"/>
                      <w:lang w:val="de-AT"/>
                    </w:rPr>
                    <w:t>UNAJ</w:t>
                  </w:r>
                  <w:r w:rsidRPr="007D3146">
                    <w:rPr>
                      <w:sz w:val="32"/>
                      <w:szCs w:val="32"/>
                      <w:lang w:val="de-AT"/>
                    </w:rPr>
                    <w:t>)</w:t>
                  </w:r>
                </w:p>
              </w:txbxContent>
            </v:textbox>
            <w10:wrap type="tight" anchorx="page" anchory="page"/>
          </v:shape>
        </w:pict>
      </w:r>
      <w:r w:rsidRPr="0024099C">
        <w:rPr>
          <w:lang w:val="sk-SK"/>
        </w:rPr>
        <w:br w:type="page"/>
      </w:r>
    </w:p>
    <w:p w:rsidR="00FC2BA2" w:rsidRPr="00FC2BA2" w:rsidRDefault="00FC2BA2">
      <w:pPr>
        <w:rPr>
          <w:rFonts w:ascii="Arial" w:hAnsi="Arial" w:cs="Arial"/>
          <w:b/>
          <w:sz w:val="24"/>
          <w:szCs w:val="24"/>
        </w:rPr>
      </w:pPr>
      <w:r w:rsidRPr="00FC2BA2">
        <w:rPr>
          <w:rFonts w:ascii="Arial" w:hAnsi="Arial" w:cs="Arial"/>
          <w:b/>
          <w:sz w:val="24"/>
          <w:szCs w:val="24"/>
        </w:rPr>
        <w:lastRenderedPageBreak/>
        <w:t>Mapy a obrázky</w:t>
      </w:r>
    </w:p>
    <w:p w:rsidR="00FC2BA2" w:rsidRPr="00FC2BA2" w:rsidRDefault="00FC2BA2">
      <w:pPr>
        <w:rPr>
          <w:rFonts w:ascii="Arial" w:hAnsi="Arial" w:cs="Arial"/>
          <w:sz w:val="24"/>
          <w:szCs w:val="24"/>
        </w:rPr>
      </w:pPr>
    </w:p>
    <w:p w:rsidR="00F95E38" w:rsidRPr="0024099C" w:rsidRDefault="00F95E38" w:rsidP="00F95E38">
      <w:pPr>
        <w:pStyle w:val="mberschriftfigures"/>
        <w:rPr>
          <w:lang w:val="sk-SK"/>
        </w:rPr>
      </w:pPr>
      <w:bookmarkStart w:id="0" w:name="_Toc398031841"/>
      <w:bookmarkStart w:id="1" w:name="_Toc398049997"/>
      <w:r w:rsidRPr="0024099C">
        <w:rPr>
          <w:rFonts w:cs="Arial"/>
          <w:lang w:val="sk-SK"/>
        </w:rPr>
        <w:t>Územie Dunajského nadnárodného programu</w:t>
      </w:r>
      <w:bookmarkEnd w:id="0"/>
      <w:bookmarkEnd w:id="1"/>
    </w:p>
    <w:p w:rsidR="00F95E38" w:rsidRPr="0024099C" w:rsidRDefault="00F95E38" w:rsidP="00F95E38">
      <w:pPr>
        <w:pStyle w:val="mStandard"/>
        <w:rPr>
          <w:lang w:val="sk-SK"/>
        </w:rPr>
      </w:pPr>
      <w:r w:rsidRPr="0024099C">
        <w:rPr>
          <w:noProof/>
          <w:lang w:val="sk-SK" w:eastAsia="sk-SK"/>
        </w:rPr>
        <w:drawing>
          <wp:inline distT="0" distB="0" distL="0" distR="0">
            <wp:extent cx="4762500" cy="4076700"/>
            <wp:effectExtent l="19050" t="0" r="0" b="0"/>
            <wp:docPr id="7" name="Immagine 1" descr="http://www.southeast-europe.net/images/upload/cikknagy/interregvb_kooperationsraum_don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southeast-europe.net/images/upload/cikknagy/interregvb_kooperationsraum_dona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4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58"/>
        <w:gridCol w:w="2792"/>
      </w:tblGrid>
      <w:tr w:rsidR="00F95E38" w:rsidTr="00466C19">
        <w:tc>
          <w:tcPr>
            <w:tcW w:w="5058" w:type="dxa"/>
          </w:tcPr>
          <w:p w:rsidR="00F95E38" w:rsidRPr="005F7388" w:rsidRDefault="00F95E38" w:rsidP="00863CED">
            <w:pPr>
              <w:pStyle w:val="Bezmezer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5F7388">
              <w:rPr>
                <w:rFonts w:ascii="Arial" w:hAnsi="Arial" w:cs="Arial"/>
                <w:b/>
                <w:sz w:val="20"/>
                <w:szCs w:val="20"/>
              </w:rPr>
              <w:t>Oblasť spolupráce INTERREG B 2014 – 2020</w:t>
            </w:r>
          </w:p>
        </w:tc>
        <w:tc>
          <w:tcPr>
            <w:tcW w:w="2792" w:type="dxa"/>
          </w:tcPr>
          <w:p w:rsidR="00F95E38" w:rsidRPr="0024099C" w:rsidRDefault="00F95E38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Zdroj: Európska komisia, návrh zo dňa 18. decembra 2012</w:t>
            </w:r>
          </w:p>
          <w:p w:rsidR="00F95E38" w:rsidRDefault="00F95E38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 xml:space="preserve">Geometrický základ: GFK </w:t>
            </w:r>
            <w:r>
              <w:rPr>
                <w:rFonts w:ascii="Arial" w:hAnsi="Arial" w:cs="Arial"/>
                <w:sz w:val="20"/>
                <w:szCs w:val="20"/>
              </w:rPr>
              <w:t>MA</w:t>
            </w:r>
            <w:r w:rsidRPr="0024099C">
              <w:rPr>
                <w:rFonts w:ascii="Arial" w:hAnsi="Arial" w:cs="Arial"/>
                <w:sz w:val="20"/>
                <w:szCs w:val="20"/>
              </w:rPr>
              <w:t>CON</w:t>
            </w:r>
          </w:p>
        </w:tc>
      </w:tr>
    </w:tbl>
    <w:p w:rsidR="00F95E38" w:rsidRPr="0024099C" w:rsidRDefault="00F95E38" w:rsidP="00F95E38">
      <w:pPr>
        <w:pStyle w:val="Bezmezer"/>
        <w:jc w:val="both"/>
        <w:rPr>
          <w:rFonts w:ascii="Arial" w:hAnsi="Arial" w:cs="Arial"/>
          <w:sz w:val="20"/>
          <w:szCs w:val="20"/>
        </w:rPr>
      </w:pPr>
    </w:p>
    <w:p w:rsidR="00FC2BA2" w:rsidRPr="00BD29F3" w:rsidRDefault="00F95E38" w:rsidP="00F01E1B">
      <w:pPr>
        <w:pStyle w:val="mQuelle"/>
        <w:rPr>
          <w:color w:val="808080" w:themeColor="background1" w:themeShade="80"/>
        </w:rPr>
      </w:pPr>
      <w:r w:rsidRPr="00BD29F3">
        <w:rPr>
          <w:color w:val="808080" w:themeColor="background1" w:themeShade="80"/>
          <w:lang w:val="sk-SK"/>
        </w:rPr>
        <w:t xml:space="preserve">Zdroj: </w:t>
      </w:r>
      <w:hyperlink r:id="rId12" w:history="1">
        <w:r w:rsidRPr="00BD29F3">
          <w:rPr>
            <w:rStyle w:val="Hypertextovodkaz"/>
            <w:color w:val="808080" w:themeColor="background1" w:themeShade="80"/>
            <w:lang w:val="sk-SK"/>
          </w:rPr>
          <w:t>http://www.southeast-europe.net/en/about_see/danubeprogramme/index</w:t>
        </w:r>
      </w:hyperlink>
    </w:p>
    <w:p w:rsidR="00F01E1B" w:rsidRDefault="00F01E1B">
      <w:pPr>
        <w:spacing w:after="200" w:line="276" w:lineRule="auto"/>
        <w:rPr>
          <w:rFonts w:ascii="Arial" w:eastAsia="Times New Roman" w:hAnsi="Arial" w:cs="Times New Roman"/>
          <w:sz w:val="20"/>
          <w:szCs w:val="20"/>
          <w:lang w:val="de-DE" w:eastAsia="de-DE"/>
        </w:rPr>
      </w:pPr>
      <w:r>
        <w:rPr>
          <w:lang w:val="de-DE"/>
        </w:rPr>
        <w:br w:type="page"/>
      </w:r>
    </w:p>
    <w:p w:rsidR="00F01E1B" w:rsidRPr="0024099C" w:rsidRDefault="00F01E1B" w:rsidP="00F01E1B">
      <w:pPr>
        <w:pStyle w:val="mberschriftfigures"/>
        <w:rPr>
          <w:lang w:val="sk-SK"/>
        </w:rPr>
      </w:pPr>
      <w:r w:rsidRPr="0024099C">
        <w:rPr>
          <w:rFonts w:cs="Arial"/>
          <w:lang w:val="sk-SK"/>
        </w:rPr>
        <w:lastRenderedPageBreak/>
        <w:t>Národné a regionálne rozdiely v úrovni zamestnanosti v povodí Dunaja</w:t>
      </w:r>
    </w:p>
    <w:p w:rsidR="00F01E1B" w:rsidRPr="0024099C" w:rsidRDefault="00F01E1B" w:rsidP="00F01E1B">
      <w:pPr>
        <w:pStyle w:val="mStandard"/>
        <w:rPr>
          <w:lang w:val="sk-SK"/>
        </w:rPr>
      </w:pPr>
      <w:r w:rsidRPr="0024099C">
        <w:rPr>
          <w:noProof/>
          <w:lang w:val="sk-SK" w:eastAsia="sk-SK"/>
        </w:rPr>
        <w:drawing>
          <wp:inline distT="0" distB="0" distL="0" distR="0">
            <wp:extent cx="4895850" cy="3546839"/>
            <wp:effectExtent l="19050" t="0" r="0" b="0"/>
            <wp:docPr id="8" name="Bild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3546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1E1B" w:rsidRPr="002E4069" w:rsidRDefault="00F01E1B" w:rsidP="00F01E1B">
      <w:pPr>
        <w:pStyle w:val="mStandard"/>
        <w:rPr>
          <w:b/>
          <w:lang w:val="sk-SK"/>
        </w:rPr>
      </w:pPr>
      <w:r w:rsidRPr="002E4069">
        <w:rPr>
          <w:b/>
          <w:lang w:val="sk-SK"/>
        </w:rPr>
        <w:t>Miera zamestnanosti, 2011</w:t>
      </w:r>
    </w:p>
    <w:p w:rsidR="00F01E1B" w:rsidRPr="0024099C" w:rsidRDefault="00F01E1B" w:rsidP="00F01E1B">
      <w:pPr>
        <w:pStyle w:val="mStandard"/>
        <w:rPr>
          <w:lang w:val="sk-SK"/>
        </w:rPr>
      </w:pPr>
      <w:r w:rsidRPr="0024099C">
        <w:rPr>
          <w:lang w:val="sk-SK"/>
        </w:rPr>
        <w:t>Žiadne údaje</w:t>
      </w:r>
    </w:p>
    <w:p w:rsidR="00F01E1B" w:rsidRPr="0024099C" w:rsidRDefault="00F01E1B" w:rsidP="00F01E1B">
      <w:pPr>
        <w:pStyle w:val="mStandard"/>
        <w:rPr>
          <w:lang w:val="sk-SK"/>
        </w:rPr>
      </w:pPr>
    </w:p>
    <w:p w:rsidR="00F01E1B" w:rsidRPr="0024099C" w:rsidRDefault="00F01E1B" w:rsidP="00F01E1B">
      <w:pPr>
        <w:pStyle w:val="mQuelle"/>
        <w:rPr>
          <w:szCs w:val="16"/>
          <w:lang w:val="sk-SK"/>
        </w:rPr>
      </w:pPr>
      <w:r w:rsidRPr="0024099C">
        <w:rPr>
          <w:szCs w:val="16"/>
          <w:lang w:val="sk-SK"/>
        </w:rPr>
        <w:t>Zdroj: „Regionálna analýza dunajského regiónu“ CESCI - 2014</w:t>
      </w:r>
      <w:hyperlink r:id="rId14" w:history="1"/>
    </w:p>
    <w:p w:rsidR="00F01E1B" w:rsidRDefault="00F01E1B">
      <w:pPr>
        <w:spacing w:after="200" w:line="276" w:lineRule="auto"/>
        <w:rPr>
          <w:rFonts w:ascii="Arial" w:eastAsia="Times New Roman" w:hAnsi="Arial" w:cs="Times New Roman"/>
          <w:sz w:val="20"/>
          <w:szCs w:val="20"/>
          <w:lang w:val="de-DE" w:eastAsia="de-DE"/>
        </w:rPr>
      </w:pPr>
      <w:r>
        <w:rPr>
          <w:lang w:val="de-DE"/>
        </w:rPr>
        <w:br w:type="page"/>
      </w:r>
    </w:p>
    <w:p w:rsidR="00F01E1B" w:rsidRPr="0024099C" w:rsidRDefault="00F01E1B" w:rsidP="00F01E1B">
      <w:pPr>
        <w:pStyle w:val="mberschriftfigures"/>
        <w:rPr>
          <w:lang w:val="sk-SK"/>
        </w:rPr>
      </w:pPr>
      <w:r w:rsidRPr="0024099C">
        <w:rPr>
          <w:lang w:val="sk-SK"/>
        </w:rPr>
        <w:lastRenderedPageBreak/>
        <w:t>Index starnutia</w:t>
      </w:r>
      <w:r w:rsidRPr="00A93D25">
        <w:rPr>
          <w:color w:val="808080" w:themeColor="background1" w:themeShade="80"/>
          <w:lang w:val="sk-SK"/>
        </w:rPr>
        <w:t xml:space="preserve"> </w:t>
      </w:r>
      <w:r w:rsidRPr="0024099C">
        <w:rPr>
          <w:lang w:val="sk-SK"/>
        </w:rPr>
        <w:t>dunajského regiónu na úrovni NUTS3</w:t>
      </w:r>
    </w:p>
    <w:p w:rsidR="00F01E1B" w:rsidRPr="0024099C" w:rsidRDefault="00F01E1B" w:rsidP="00F01E1B">
      <w:pPr>
        <w:pStyle w:val="maufzhlung"/>
        <w:numPr>
          <w:ilvl w:val="0"/>
          <w:numId w:val="0"/>
        </w:numPr>
        <w:tabs>
          <w:tab w:val="clear" w:pos="567"/>
          <w:tab w:val="left" w:pos="0"/>
        </w:tabs>
        <w:rPr>
          <w:b/>
          <w:lang w:val="sk-SK"/>
        </w:rPr>
      </w:pPr>
      <w:r w:rsidRPr="0024099C">
        <w:rPr>
          <w:noProof/>
          <w:lang w:val="sk-SK" w:eastAsia="sk-SK"/>
        </w:rPr>
        <w:drawing>
          <wp:inline distT="0" distB="0" distL="0" distR="0">
            <wp:extent cx="4895850" cy="3546839"/>
            <wp:effectExtent l="19050" t="0" r="0" b="0"/>
            <wp:docPr id="9" name="Bild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3546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1E1B" w:rsidRPr="002E4069" w:rsidRDefault="00F01E1B" w:rsidP="00F01E1B">
      <w:pPr>
        <w:pStyle w:val="maufzhlung"/>
        <w:numPr>
          <w:ilvl w:val="0"/>
          <w:numId w:val="0"/>
        </w:numPr>
        <w:tabs>
          <w:tab w:val="clear" w:pos="567"/>
          <w:tab w:val="left" w:pos="0"/>
        </w:tabs>
        <w:rPr>
          <w:b/>
          <w:lang w:val="sk-SK"/>
        </w:rPr>
      </w:pPr>
      <w:r w:rsidRPr="002E4069">
        <w:rPr>
          <w:b/>
          <w:lang w:val="sk-SK"/>
        </w:rPr>
        <w:t>Index starnutia, 2011</w:t>
      </w:r>
    </w:p>
    <w:p w:rsidR="00F01E1B" w:rsidRPr="0024099C" w:rsidRDefault="00F01E1B" w:rsidP="00F01E1B">
      <w:pPr>
        <w:pStyle w:val="maufzhlung"/>
        <w:numPr>
          <w:ilvl w:val="0"/>
          <w:numId w:val="0"/>
        </w:numPr>
        <w:tabs>
          <w:tab w:val="clear" w:pos="567"/>
          <w:tab w:val="left" w:pos="0"/>
        </w:tabs>
        <w:rPr>
          <w:lang w:val="sk-SK"/>
        </w:rPr>
      </w:pPr>
    </w:p>
    <w:p w:rsidR="00F01E1B" w:rsidRDefault="00F01E1B" w:rsidP="00F01E1B">
      <w:pPr>
        <w:pStyle w:val="maufzhlung"/>
        <w:numPr>
          <w:ilvl w:val="0"/>
          <w:numId w:val="0"/>
        </w:numPr>
        <w:tabs>
          <w:tab w:val="clear" w:pos="567"/>
          <w:tab w:val="left" w:pos="0"/>
        </w:tabs>
        <w:rPr>
          <w:lang w:val="sk-SK"/>
        </w:rPr>
      </w:pPr>
      <w:r w:rsidRPr="0024099C">
        <w:rPr>
          <w:lang w:val="sk-SK"/>
        </w:rPr>
        <w:t>Žiadne údaje</w:t>
      </w:r>
    </w:p>
    <w:p w:rsidR="00F01E1B" w:rsidRPr="0024099C" w:rsidRDefault="00F01E1B" w:rsidP="00F01E1B">
      <w:pPr>
        <w:pStyle w:val="maufzhlung"/>
        <w:numPr>
          <w:ilvl w:val="0"/>
          <w:numId w:val="0"/>
        </w:numPr>
        <w:tabs>
          <w:tab w:val="clear" w:pos="567"/>
          <w:tab w:val="left" w:pos="0"/>
        </w:tabs>
        <w:rPr>
          <w:lang w:val="sk-SK"/>
        </w:rPr>
      </w:pPr>
    </w:p>
    <w:p w:rsidR="00F01E1B" w:rsidRPr="0024099C" w:rsidRDefault="00F01E1B" w:rsidP="00F01E1B">
      <w:pPr>
        <w:pStyle w:val="mQuelle"/>
        <w:rPr>
          <w:lang w:val="sk-SK"/>
        </w:rPr>
      </w:pPr>
      <w:r w:rsidRPr="0024099C">
        <w:rPr>
          <w:lang w:val="sk-SK"/>
        </w:rPr>
        <w:t>Zdroj: „Regionálna analýza dunajského regiónu“ CESCI - 2014</w:t>
      </w:r>
    </w:p>
    <w:p w:rsidR="00F01E1B" w:rsidRDefault="00F01E1B">
      <w:pPr>
        <w:spacing w:after="200" w:line="276" w:lineRule="auto"/>
        <w:rPr>
          <w:rFonts w:ascii="Arial" w:eastAsia="Times New Roman" w:hAnsi="Arial" w:cs="Times New Roman"/>
          <w:sz w:val="20"/>
          <w:szCs w:val="20"/>
          <w:lang w:val="de-DE" w:eastAsia="de-DE"/>
        </w:rPr>
      </w:pPr>
      <w:r>
        <w:rPr>
          <w:lang w:val="de-DE"/>
        </w:rPr>
        <w:br w:type="page"/>
      </w:r>
    </w:p>
    <w:p w:rsidR="00F01E1B" w:rsidRPr="0024099C" w:rsidRDefault="00F01E1B" w:rsidP="00F01E1B">
      <w:pPr>
        <w:pStyle w:val="mberschriftfigures"/>
        <w:rPr>
          <w:lang w:val="sk-SK"/>
        </w:rPr>
      </w:pPr>
      <w:r w:rsidRPr="0024099C">
        <w:rPr>
          <w:rFonts w:cs="Arial"/>
          <w:lang w:val="sk-SK"/>
        </w:rPr>
        <w:lastRenderedPageBreak/>
        <w:t>Dunaj a jeho prítoky</w:t>
      </w:r>
    </w:p>
    <w:p w:rsidR="00F01E1B" w:rsidRPr="0024099C" w:rsidRDefault="00F01E1B" w:rsidP="00F01E1B">
      <w:pPr>
        <w:pStyle w:val="mberschriftfigures"/>
        <w:numPr>
          <w:ilvl w:val="0"/>
          <w:numId w:val="0"/>
        </w:numPr>
        <w:ind w:right="57"/>
        <w:rPr>
          <w:lang w:val="sk-SK"/>
        </w:rPr>
      </w:pPr>
      <w:r w:rsidRPr="0024099C">
        <w:rPr>
          <w:noProof/>
          <w:lang w:val="sk-SK" w:eastAsia="sk-SK"/>
        </w:rPr>
        <w:drawing>
          <wp:inline distT="0" distB="0" distL="0" distR="0">
            <wp:extent cx="3810000" cy="3467100"/>
            <wp:effectExtent l="19050" t="0" r="0" b="0"/>
            <wp:docPr id="10" name="Grafik 0" descr="interreg_donauraum_mit_donau_und_nebenfluessen_europa_k104_2014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reg_donauraum_mit_donau_und_nebenfluessen_europa_k104_2014_EN.jpg"/>
                    <pic:cNvPicPr/>
                  </pic:nvPicPr>
                  <pic:blipFill>
                    <a:blip r:embed="rId16" cstate="print"/>
                    <a:srcRect l="4154" t="3504" r="3538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925"/>
        <w:gridCol w:w="3925"/>
      </w:tblGrid>
      <w:tr w:rsidR="00F01E1B" w:rsidTr="00863CED">
        <w:tc>
          <w:tcPr>
            <w:tcW w:w="3925" w:type="dxa"/>
          </w:tcPr>
          <w:p w:rsidR="00F01E1B" w:rsidRPr="00770E36" w:rsidRDefault="00F01E1B" w:rsidP="00863CED">
            <w:pPr>
              <w:pStyle w:val="Bezmezer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770E36">
              <w:rPr>
                <w:rFonts w:ascii="Arial" w:hAnsi="Arial" w:cs="Arial"/>
                <w:b/>
                <w:sz w:val="20"/>
                <w:szCs w:val="20"/>
              </w:rPr>
              <w:t xml:space="preserve">Oblasť spolupráce INTERREG B 2014 – 2020 </w:t>
            </w:r>
          </w:p>
          <w:p w:rsidR="00F01E1B" w:rsidRPr="00770E36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70E36">
              <w:rPr>
                <w:rFonts w:ascii="Arial" w:hAnsi="Arial" w:cs="Arial"/>
                <w:sz w:val="20"/>
                <w:szCs w:val="20"/>
              </w:rPr>
              <w:t>Dunajský región</w:t>
            </w:r>
          </w:p>
          <w:p w:rsidR="00F01E1B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Dunaj/prítoky</w:t>
            </w:r>
          </w:p>
        </w:tc>
        <w:tc>
          <w:tcPr>
            <w:tcW w:w="3925" w:type="dxa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Dátový základ:</w:t>
            </w:r>
          </w:p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Európska komisia</w:t>
            </w:r>
          </w:p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Geometrický základ:</w:t>
            </w:r>
          </w:p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 xml:space="preserve">GfK GeoMarketing, </w:t>
            </w:r>
            <w:r w:rsidR="00AC6E12">
              <w:rPr>
                <w:rFonts w:ascii="Arial" w:hAnsi="Arial" w:cs="Arial"/>
                <w:sz w:val="20"/>
                <w:szCs w:val="20"/>
              </w:rPr>
              <w:t xml:space="preserve">regióny </w:t>
            </w:r>
            <w:r w:rsidRPr="0024099C">
              <w:rPr>
                <w:rFonts w:ascii="Arial" w:hAnsi="Arial" w:cs="Arial"/>
                <w:sz w:val="20"/>
                <w:szCs w:val="20"/>
              </w:rPr>
              <w:t>NUTS 2</w:t>
            </w:r>
          </w:p>
          <w:p w:rsidR="00F01E1B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Autor: T. Panwinkler</w:t>
            </w:r>
          </w:p>
        </w:tc>
      </w:tr>
    </w:tbl>
    <w:p w:rsidR="00F01E1B" w:rsidRPr="0024099C" w:rsidRDefault="00F01E1B" w:rsidP="00F01E1B">
      <w:pPr>
        <w:pStyle w:val="Bezmezer"/>
        <w:jc w:val="both"/>
        <w:rPr>
          <w:rFonts w:ascii="Arial" w:hAnsi="Arial" w:cs="Arial"/>
          <w:sz w:val="20"/>
          <w:szCs w:val="20"/>
        </w:rPr>
      </w:pPr>
    </w:p>
    <w:p w:rsidR="00F01E1B" w:rsidRPr="00466C19" w:rsidRDefault="00F01E1B" w:rsidP="00F01E1B">
      <w:pPr>
        <w:pStyle w:val="mStandard"/>
        <w:rPr>
          <w:color w:val="808080" w:themeColor="background1" w:themeShade="80"/>
          <w:sz w:val="16"/>
          <w:szCs w:val="16"/>
          <w:lang w:val="sk-SK"/>
        </w:rPr>
      </w:pPr>
      <w:r w:rsidRPr="00466C19">
        <w:rPr>
          <w:color w:val="808080" w:themeColor="background1" w:themeShade="80"/>
          <w:sz w:val="16"/>
          <w:szCs w:val="16"/>
          <w:lang w:val="sk-SK"/>
        </w:rPr>
        <w:t>Zdroj: Bundesinstitut für Bau-, Stadt- und Raumforschung, Bonn, 2014</w:t>
      </w:r>
    </w:p>
    <w:p w:rsidR="00F01E1B" w:rsidRDefault="00F01E1B">
      <w:pPr>
        <w:spacing w:after="200" w:line="276" w:lineRule="auto"/>
        <w:rPr>
          <w:rFonts w:ascii="Arial" w:eastAsia="Times New Roman" w:hAnsi="Arial" w:cs="Times New Roman"/>
          <w:sz w:val="20"/>
          <w:szCs w:val="20"/>
          <w:lang w:eastAsia="de-DE"/>
        </w:rPr>
      </w:pPr>
      <w:r>
        <w:br w:type="page"/>
      </w:r>
    </w:p>
    <w:p w:rsidR="00F01E1B" w:rsidRPr="0024099C" w:rsidRDefault="00F01E1B" w:rsidP="00F01E1B">
      <w:pPr>
        <w:pStyle w:val="mberschriftfigures"/>
        <w:rPr>
          <w:lang w:val="sk-SK"/>
        </w:rPr>
      </w:pPr>
      <w:r w:rsidRPr="0024099C">
        <w:rPr>
          <w:rFonts w:cs="Arial"/>
          <w:lang w:val="sk-SK"/>
        </w:rPr>
        <w:lastRenderedPageBreak/>
        <w:t>Prehľad výsledkov výskumu a inovácií v Únii 2014</w:t>
      </w:r>
    </w:p>
    <w:p w:rsidR="00F01E1B" w:rsidRPr="0024099C" w:rsidRDefault="00F01E1B" w:rsidP="00F01E1B">
      <w:pPr>
        <w:pStyle w:val="mStandard"/>
        <w:rPr>
          <w:lang w:val="sk-SK"/>
        </w:rPr>
      </w:pPr>
      <w:r w:rsidRPr="0024099C">
        <w:rPr>
          <w:noProof/>
          <w:lang w:val="sk-SK" w:eastAsia="sk-SK"/>
        </w:rPr>
        <w:drawing>
          <wp:inline distT="0" distB="0" distL="0" distR="0">
            <wp:extent cx="4895850" cy="2606775"/>
            <wp:effectExtent l="19050" t="0" r="0" b="0"/>
            <wp:docPr id="57" name="Picture 10" descr="EU Member States’ innovation performa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U Member States’ innovation performance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260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E1B" w:rsidRPr="0024099C" w:rsidRDefault="00F01E1B" w:rsidP="00F01E1B">
      <w:pPr>
        <w:pStyle w:val="Bezmezer"/>
        <w:jc w:val="both"/>
        <w:rPr>
          <w:rFonts w:ascii="Arial" w:hAnsi="Arial" w:cs="Arial"/>
          <w:sz w:val="20"/>
          <w:szCs w:val="20"/>
        </w:rPr>
      </w:pPr>
      <w:r w:rsidRPr="0024099C">
        <w:rPr>
          <w:rFonts w:ascii="Arial" w:hAnsi="Arial" w:cs="Arial"/>
          <w:sz w:val="20"/>
          <w:szCs w:val="20"/>
        </w:rPr>
        <w:t>slabí inovátori</w:t>
      </w:r>
      <w:r w:rsidRPr="0024099C">
        <w:rPr>
          <w:rFonts w:ascii="Arial" w:hAnsi="Arial" w:cs="Arial"/>
          <w:sz w:val="20"/>
          <w:szCs w:val="20"/>
        </w:rPr>
        <w:tab/>
        <w:t>mierni inovátori</w:t>
      </w:r>
      <w:r w:rsidRPr="0024099C">
        <w:rPr>
          <w:rFonts w:ascii="Arial" w:hAnsi="Arial" w:cs="Arial"/>
          <w:sz w:val="20"/>
          <w:szCs w:val="20"/>
        </w:rPr>
        <w:tab/>
      </w:r>
      <w:r w:rsidR="002E4069">
        <w:rPr>
          <w:rFonts w:ascii="Arial" w:hAnsi="Arial" w:cs="Arial"/>
          <w:sz w:val="20"/>
          <w:szCs w:val="20"/>
        </w:rPr>
        <w:tab/>
      </w:r>
      <w:r w:rsidRPr="0024099C">
        <w:rPr>
          <w:rFonts w:ascii="Arial" w:hAnsi="Arial" w:cs="Arial"/>
          <w:sz w:val="20"/>
          <w:szCs w:val="20"/>
        </w:rPr>
        <w:t>inovační nasledovatelia</w:t>
      </w:r>
      <w:r w:rsidRPr="0024099C">
        <w:rPr>
          <w:rFonts w:ascii="Arial" w:hAnsi="Arial" w:cs="Arial"/>
          <w:sz w:val="20"/>
          <w:szCs w:val="20"/>
        </w:rPr>
        <w:tab/>
      </w:r>
      <w:r w:rsidR="002E4069">
        <w:rPr>
          <w:rFonts w:ascii="Arial" w:hAnsi="Arial" w:cs="Arial"/>
          <w:sz w:val="20"/>
          <w:szCs w:val="20"/>
        </w:rPr>
        <w:tab/>
      </w:r>
      <w:r w:rsidRPr="0024099C">
        <w:rPr>
          <w:rFonts w:ascii="Arial" w:hAnsi="Arial" w:cs="Arial"/>
          <w:sz w:val="20"/>
          <w:szCs w:val="20"/>
        </w:rPr>
        <w:t xml:space="preserve"> inovační lídri</w:t>
      </w:r>
    </w:p>
    <w:p w:rsidR="00F01E1B" w:rsidRPr="0024099C" w:rsidRDefault="00F01E1B" w:rsidP="00F01E1B">
      <w:pPr>
        <w:pStyle w:val="mStandard"/>
        <w:rPr>
          <w:lang w:val="sk-SK"/>
        </w:rPr>
      </w:pPr>
    </w:p>
    <w:p w:rsidR="00F01E1B" w:rsidRPr="0024099C" w:rsidRDefault="00F01E1B" w:rsidP="00F01E1B">
      <w:pPr>
        <w:pStyle w:val="mQuelle"/>
        <w:rPr>
          <w:lang w:val="sk-SK"/>
        </w:rPr>
      </w:pPr>
      <w:r w:rsidRPr="0024099C">
        <w:rPr>
          <w:lang w:val="sk-SK"/>
        </w:rPr>
        <w:t>Zdroj: Prehľad výsledkov výskumu a inovácií v Únii 2014http://ec.europa.eu/enterprise/policies/innovation/policy/innovation-scoreboard/index_en.htm</w:t>
      </w:r>
    </w:p>
    <w:p w:rsidR="00F01E1B" w:rsidRPr="0024099C" w:rsidRDefault="00F01E1B" w:rsidP="00F01E1B">
      <w:pPr>
        <w:pStyle w:val="mberschriftfigures"/>
        <w:rPr>
          <w:lang w:val="sk-SK"/>
        </w:rPr>
      </w:pPr>
      <w:r w:rsidRPr="0024099C">
        <w:rPr>
          <w:lang w:val="sk-SK"/>
        </w:rPr>
        <w:t>Lokality svetového dedičstva v dunajskom regióne</w:t>
      </w:r>
    </w:p>
    <w:p w:rsidR="00F01E1B" w:rsidRPr="0024099C" w:rsidRDefault="00F01E1B" w:rsidP="00F01E1B">
      <w:pPr>
        <w:pStyle w:val="mberschriftfigures"/>
        <w:numPr>
          <w:ilvl w:val="0"/>
          <w:numId w:val="0"/>
        </w:numPr>
        <w:rPr>
          <w:lang w:val="sk-SK"/>
        </w:rPr>
      </w:pPr>
      <w:r w:rsidRPr="0024099C">
        <w:rPr>
          <w:noProof/>
          <w:lang w:val="sk-SK" w:eastAsia="sk-SK"/>
        </w:rPr>
        <w:drawing>
          <wp:inline distT="0" distB="0" distL="0" distR="0">
            <wp:extent cx="5105400" cy="3612121"/>
            <wp:effectExtent l="0" t="0" r="0" b="7620"/>
            <wp:docPr id="58" name="Picture 1" descr="C:\Users\Seenetwork\Documents\DANUBE OP\Version 2.0\working documents\Statistical data CESCI\DR_Map20_WorldHerit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enetwork\Documents\DANUBE OP\Version 2.0\working documents\Statistical data CESCI\DR_Map20_WorldHeritage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042" cy="3638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E1B" w:rsidRPr="0024099C" w:rsidRDefault="00F01E1B" w:rsidP="00F01E1B">
      <w:pPr>
        <w:pStyle w:val="Bezmezer"/>
        <w:jc w:val="both"/>
        <w:rPr>
          <w:rFonts w:ascii="Arial" w:hAnsi="Arial" w:cs="Arial"/>
          <w:sz w:val="20"/>
          <w:szCs w:val="20"/>
        </w:rPr>
      </w:pPr>
      <w:r w:rsidRPr="0024099C">
        <w:rPr>
          <w:rFonts w:ascii="Arial" w:hAnsi="Arial" w:cs="Arial"/>
          <w:sz w:val="20"/>
          <w:szCs w:val="20"/>
        </w:rPr>
        <w:t>Lokality svetového dedičstva UNESCO</w:t>
      </w:r>
    </w:p>
    <w:p w:rsidR="00F01E1B" w:rsidRPr="0024099C" w:rsidRDefault="00F01E1B" w:rsidP="00F01E1B">
      <w:pPr>
        <w:pStyle w:val="Bezmezer"/>
        <w:jc w:val="both"/>
        <w:rPr>
          <w:rFonts w:ascii="Arial" w:hAnsi="Arial" w:cs="Arial"/>
          <w:sz w:val="20"/>
          <w:szCs w:val="20"/>
        </w:rPr>
      </w:pPr>
      <w:r w:rsidRPr="0024099C">
        <w:rPr>
          <w:rFonts w:ascii="Arial" w:hAnsi="Arial" w:cs="Arial"/>
          <w:sz w:val="20"/>
          <w:szCs w:val="20"/>
        </w:rPr>
        <w:t>Predbežné lokality svetového dedičstva UNESCO</w:t>
      </w:r>
    </w:p>
    <w:p w:rsidR="00F01E1B" w:rsidRPr="0024099C" w:rsidRDefault="00F01E1B" w:rsidP="00F01E1B">
      <w:pPr>
        <w:pStyle w:val="mQuelle"/>
        <w:rPr>
          <w:lang w:val="sk-SK"/>
        </w:rPr>
      </w:pPr>
    </w:p>
    <w:p w:rsidR="00F01E1B" w:rsidRPr="0024099C" w:rsidRDefault="00F01E1B" w:rsidP="00F01E1B">
      <w:pPr>
        <w:pStyle w:val="mQuelle"/>
        <w:rPr>
          <w:lang w:val="sk-SK"/>
        </w:rPr>
      </w:pPr>
      <w:r w:rsidRPr="0024099C">
        <w:rPr>
          <w:lang w:val="sk-SK"/>
        </w:rPr>
        <w:t>Zdroj: „Regionálna analýza dunajského regiónu“ CESCI – 2014</w:t>
      </w:r>
    </w:p>
    <w:p w:rsidR="00F01E1B" w:rsidRDefault="00F01E1B">
      <w:pPr>
        <w:spacing w:after="200" w:line="276" w:lineRule="auto"/>
        <w:rPr>
          <w:rFonts w:ascii="Arial" w:eastAsia="Times New Roman" w:hAnsi="Arial" w:cs="Times New Roman"/>
          <w:sz w:val="20"/>
          <w:szCs w:val="20"/>
          <w:lang w:val="de-DE" w:eastAsia="de-DE"/>
        </w:rPr>
      </w:pPr>
      <w:r>
        <w:rPr>
          <w:lang w:val="de-DE"/>
        </w:rPr>
        <w:br w:type="page"/>
      </w:r>
    </w:p>
    <w:p w:rsidR="00F01E1B" w:rsidRPr="0024099C" w:rsidRDefault="00F01E1B" w:rsidP="00F01E1B">
      <w:pPr>
        <w:pStyle w:val="mberschriftfigures"/>
        <w:rPr>
          <w:lang w:val="sk-SK"/>
        </w:rPr>
      </w:pPr>
      <w:r w:rsidRPr="0024099C">
        <w:rPr>
          <w:rFonts w:cs="Arial"/>
          <w:lang w:val="sk-SK"/>
        </w:rPr>
        <w:lastRenderedPageBreak/>
        <w:t>Chránené územia v dunajskom regióne</w:t>
      </w:r>
    </w:p>
    <w:p w:rsidR="00F01E1B" w:rsidRPr="0024099C" w:rsidRDefault="00F01E1B" w:rsidP="00F01E1B">
      <w:pPr>
        <w:pStyle w:val="mberschriftfigures"/>
        <w:numPr>
          <w:ilvl w:val="0"/>
          <w:numId w:val="0"/>
        </w:numPr>
        <w:rPr>
          <w:lang w:val="sk-SK"/>
        </w:rPr>
      </w:pPr>
      <w:r w:rsidRPr="0024099C">
        <w:rPr>
          <w:noProof/>
          <w:lang w:val="sk-SK" w:eastAsia="sk-SK"/>
        </w:rPr>
        <w:drawing>
          <wp:inline distT="0" distB="0" distL="0" distR="0">
            <wp:extent cx="4879920" cy="3448050"/>
            <wp:effectExtent l="0" t="0" r="0" b="0"/>
            <wp:docPr id="60" name="Picture 10" descr="C:\Users\Seenetwork\Documents\DANUBE OP\Version 2.0\working documents\Statistical data CESCI\DR_Map14_ProtectedAreasOfTheDanubeReg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eenetwork\Documents\DANUBE OP\Version 2.0\working documents\Statistical data CESCI\DR_Map14_ProtectedAreasOfTheDanubeRegion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915" cy="3467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E1B" w:rsidRPr="00770E36" w:rsidRDefault="00F01E1B" w:rsidP="00F01E1B">
      <w:pPr>
        <w:pStyle w:val="Bezmezer"/>
        <w:jc w:val="both"/>
        <w:rPr>
          <w:rFonts w:ascii="Arial" w:hAnsi="Arial" w:cs="Arial"/>
          <w:b/>
          <w:sz w:val="20"/>
          <w:szCs w:val="20"/>
        </w:rPr>
      </w:pPr>
      <w:r w:rsidRPr="00770E36">
        <w:rPr>
          <w:rFonts w:ascii="Arial" w:hAnsi="Arial" w:cs="Arial"/>
          <w:b/>
          <w:sz w:val="20"/>
          <w:szCs w:val="20"/>
        </w:rPr>
        <w:t>Natura 2000 a národne označené územia</w:t>
      </w:r>
    </w:p>
    <w:p w:rsidR="00F01E1B" w:rsidRDefault="00F01E1B" w:rsidP="00F01E1B">
      <w:pPr>
        <w:pStyle w:val="Bezmezer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Zdroj: EEA</w:t>
      </w:r>
    </w:p>
    <w:p w:rsidR="00F01E1B" w:rsidRDefault="00F01E1B" w:rsidP="00F01E1B">
      <w:pPr>
        <w:pStyle w:val="Bezmezer"/>
        <w:jc w:val="both"/>
        <w:rPr>
          <w:rFonts w:ascii="Arial" w:hAnsi="Arial" w:cs="Arial"/>
          <w:sz w:val="20"/>
          <w:szCs w:val="20"/>
        </w:rPr>
      </w:pPr>
    </w:p>
    <w:p w:rsidR="00F01E1B" w:rsidRPr="00881035" w:rsidRDefault="00F01E1B" w:rsidP="00F01E1B">
      <w:pPr>
        <w:pStyle w:val="Bezmezer"/>
        <w:jc w:val="both"/>
        <w:rPr>
          <w:rFonts w:ascii="Arial" w:hAnsi="Arial" w:cs="Arial"/>
          <w:sz w:val="20"/>
          <w:szCs w:val="20"/>
        </w:rPr>
      </w:pPr>
      <w:r w:rsidRPr="00881035">
        <w:rPr>
          <w:rFonts w:ascii="Arial" w:hAnsi="Arial" w:cs="Arial"/>
          <w:sz w:val="20"/>
          <w:szCs w:val="20"/>
        </w:rPr>
        <w:t>osobitne chránené územia (chránené vtáčie územia)</w:t>
      </w:r>
    </w:p>
    <w:p w:rsidR="00F01E1B" w:rsidRPr="00881035" w:rsidRDefault="00F01E1B" w:rsidP="00F01E1B">
      <w:pPr>
        <w:pStyle w:val="Bezmezer"/>
        <w:jc w:val="both"/>
        <w:rPr>
          <w:rFonts w:ascii="Arial" w:hAnsi="Arial" w:cs="Arial"/>
          <w:sz w:val="20"/>
          <w:szCs w:val="20"/>
        </w:rPr>
      </w:pPr>
      <w:r w:rsidRPr="00881035">
        <w:rPr>
          <w:rFonts w:ascii="Arial" w:hAnsi="Arial" w:cs="Arial"/>
          <w:sz w:val="20"/>
          <w:szCs w:val="20"/>
        </w:rPr>
        <w:t>osobitné chránené územia (územia európskeho významu)</w:t>
      </w:r>
    </w:p>
    <w:p w:rsidR="00F01E1B" w:rsidRPr="00881035" w:rsidRDefault="00F01E1B" w:rsidP="00F01E1B">
      <w:pPr>
        <w:pStyle w:val="Bezmezer"/>
        <w:jc w:val="both"/>
        <w:rPr>
          <w:rFonts w:ascii="Arial" w:hAnsi="Arial" w:cs="Arial"/>
          <w:sz w:val="20"/>
          <w:szCs w:val="20"/>
        </w:rPr>
      </w:pPr>
      <w:r w:rsidRPr="00881035">
        <w:rPr>
          <w:rFonts w:ascii="Arial" w:hAnsi="Arial" w:cs="Arial"/>
          <w:sz w:val="20"/>
          <w:szCs w:val="20"/>
        </w:rPr>
        <w:t>oboje</w:t>
      </w:r>
    </w:p>
    <w:p w:rsidR="00F01E1B" w:rsidRPr="00881035" w:rsidRDefault="00F01E1B" w:rsidP="00F01E1B">
      <w:pPr>
        <w:pStyle w:val="mStandard"/>
        <w:rPr>
          <w:lang w:val="sk-SK"/>
        </w:rPr>
      </w:pPr>
      <w:r w:rsidRPr="00881035">
        <w:rPr>
          <w:lang w:val="sk-SK"/>
        </w:rPr>
        <w:t>národne označené územia</w:t>
      </w:r>
    </w:p>
    <w:p w:rsidR="00F01E1B" w:rsidRPr="0024099C" w:rsidRDefault="00F01E1B" w:rsidP="00F01E1B">
      <w:pPr>
        <w:pStyle w:val="mStandard"/>
        <w:rPr>
          <w:lang w:val="sk-SK"/>
        </w:rPr>
      </w:pPr>
    </w:p>
    <w:p w:rsidR="00F01E1B" w:rsidRPr="0024099C" w:rsidRDefault="00F01E1B" w:rsidP="00F01E1B">
      <w:pPr>
        <w:pStyle w:val="mQuelle"/>
        <w:rPr>
          <w:b/>
          <w:lang w:val="sk-SK"/>
        </w:rPr>
      </w:pPr>
      <w:r w:rsidRPr="0024099C">
        <w:rPr>
          <w:lang w:val="sk-SK"/>
        </w:rPr>
        <w:t>Zdroj: „Regionálna analýza dunajského regiónu“ CESCI – 2014</w:t>
      </w:r>
    </w:p>
    <w:p w:rsidR="00F01E1B" w:rsidRDefault="00F01E1B">
      <w:pPr>
        <w:spacing w:after="200" w:line="276" w:lineRule="auto"/>
        <w:rPr>
          <w:rFonts w:ascii="Arial" w:eastAsia="Times New Roman" w:hAnsi="Arial" w:cs="Times New Roman"/>
          <w:sz w:val="20"/>
          <w:szCs w:val="20"/>
          <w:lang w:val="de-DE" w:eastAsia="de-DE"/>
        </w:rPr>
      </w:pPr>
      <w:r>
        <w:rPr>
          <w:lang w:val="de-DE"/>
        </w:rPr>
        <w:br w:type="page"/>
      </w:r>
    </w:p>
    <w:p w:rsidR="00F01E1B" w:rsidRPr="0024099C" w:rsidRDefault="00F01E1B" w:rsidP="00F01E1B">
      <w:pPr>
        <w:pStyle w:val="mberschriftfigures"/>
        <w:rPr>
          <w:lang w:val="sk-SK"/>
        </w:rPr>
      </w:pPr>
      <w:r w:rsidRPr="0024099C">
        <w:rPr>
          <w:rFonts w:cs="Arial"/>
          <w:lang w:val="sk-SK"/>
        </w:rPr>
        <w:lastRenderedPageBreak/>
        <w:t>Fragmentácia krajiny v dunajskom regióne</w:t>
      </w:r>
    </w:p>
    <w:p w:rsidR="00F01E1B" w:rsidRPr="0024099C" w:rsidRDefault="00F01E1B" w:rsidP="00F01E1B">
      <w:pPr>
        <w:pStyle w:val="mberschriftfigures"/>
        <w:numPr>
          <w:ilvl w:val="0"/>
          <w:numId w:val="0"/>
        </w:numPr>
        <w:rPr>
          <w:lang w:val="sk-SK"/>
        </w:rPr>
      </w:pPr>
      <w:r w:rsidRPr="0024099C">
        <w:rPr>
          <w:noProof/>
          <w:lang w:val="sk-SK" w:eastAsia="sk-SK"/>
        </w:rPr>
        <w:drawing>
          <wp:inline distT="0" distB="0" distL="0" distR="0">
            <wp:extent cx="4895850" cy="3459305"/>
            <wp:effectExtent l="0" t="0" r="0" b="8255"/>
            <wp:docPr id="62" name="Picture 11" descr="C:\Users\Seenetwork\Documents\DANUBE OP\Version 2.0\working documents\Statistical data CESCI\DR_Map15_LandscapeFragment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eenetwork\Documents\DANUBE OP\Version 2.0\working documents\Statistical data CESCI\DR_Map15_LandscapeFragmentation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345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E1B" w:rsidRPr="008141F9" w:rsidRDefault="00F01E1B" w:rsidP="00F01E1B">
      <w:pPr>
        <w:pStyle w:val="Bezmezer"/>
        <w:jc w:val="both"/>
        <w:rPr>
          <w:rFonts w:ascii="Arial" w:hAnsi="Arial" w:cs="Arial"/>
          <w:b/>
          <w:sz w:val="20"/>
          <w:szCs w:val="20"/>
        </w:rPr>
      </w:pPr>
      <w:r w:rsidRPr="008141F9">
        <w:rPr>
          <w:rFonts w:ascii="Arial" w:hAnsi="Arial" w:cs="Arial"/>
          <w:b/>
          <w:sz w:val="20"/>
          <w:szCs w:val="20"/>
        </w:rPr>
        <w:t>Fragmentácia krajiny (2009)</w:t>
      </w:r>
    </w:p>
    <w:p w:rsidR="00F01E1B" w:rsidRPr="0024099C" w:rsidRDefault="00F01E1B" w:rsidP="00F01E1B">
      <w:pPr>
        <w:pStyle w:val="Bezmezer"/>
        <w:jc w:val="both"/>
        <w:rPr>
          <w:rFonts w:ascii="Arial" w:hAnsi="Arial" w:cs="Arial"/>
          <w:sz w:val="20"/>
          <w:szCs w:val="20"/>
        </w:rPr>
      </w:pPr>
      <w:r w:rsidRPr="0024099C">
        <w:rPr>
          <w:rFonts w:ascii="Arial" w:hAnsi="Arial" w:cs="Arial"/>
          <w:sz w:val="20"/>
          <w:szCs w:val="20"/>
        </w:rPr>
        <w:t>počet nefragmentovaných plôch na 1000 km</w:t>
      </w:r>
      <w:r w:rsidRPr="0024099C">
        <w:rPr>
          <w:rFonts w:ascii="Arial" w:hAnsi="Arial" w:cs="Arial"/>
          <w:sz w:val="20"/>
          <w:szCs w:val="20"/>
          <w:vertAlign w:val="superscript"/>
        </w:rPr>
        <w:t>2</w:t>
      </w:r>
    </w:p>
    <w:p w:rsidR="00F01E1B" w:rsidRPr="0024099C" w:rsidRDefault="00F01E1B" w:rsidP="00F01E1B">
      <w:pPr>
        <w:pStyle w:val="Bezmezer"/>
        <w:jc w:val="both"/>
        <w:rPr>
          <w:rFonts w:ascii="Arial" w:hAnsi="Arial" w:cs="Arial"/>
          <w:sz w:val="20"/>
          <w:szCs w:val="20"/>
        </w:rPr>
      </w:pPr>
    </w:p>
    <w:p w:rsidR="00F01E1B" w:rsidRPr="0024099C" w:rsidRDefault="00F01E1B" w:rsidP="00F01E1B">
      <w:pPr>
        <w:pStyle w:val="Bezmezer"/>
        <w:jc w:val="both"/>
        <w:rPr>
          <w:rFonts w:ascii="Arial" w:hAnsi="Arial" w:cs="Arial"/>
          <w:sz w:val="20"/>
          <w:szCs w:val="20"/>
        </w:rPr>
      </w:pPr>
      <w:r w:rsidRPr="0024099C">
        <w:rPr>
          <w:rFonts w:ascii="Arial" w:hAnsi="Arial" w:cs="Arial"/>
          <w:sz w:val="20"/>
          <w:szCs w:val="20"/>
        </w:rPr>
        <w:t>žiadne údaje</w:t>
      </w:r>
    </w:p>
    <w:p w:rsidR="00F01E1B" w:rsidRPr="0024099C" w:rsidRDefault="00F01E1B" w:rsidP="00F01E1B">
      <w:pPr>
        <w:pStyle w:val="mStandard"/>
        <w:rPr>
          <w:lang w:val="sk-SK"/>
        </w:rPr>
      </w:pPr>
    </w:p>
    <w:p w:rsidR="00F01E1B" w:rsidRPr="0024099C" w:rsidRDefault="00F01E1B" w:rsidP="00F01E1B">
      <w:pPr>
        <w:pStyle w:val="mQuelle"/>
        <w:rPr>
          <w:lang w:val="sk-SK"/>
        </w:rPr>
      </w:pPr>
      <w:r w:rsidRPr="0024099C">
        <w:rPr>
          <w:lang w:val="sk-SK"/>
        </w:rPr>
        <w:t>Zdroj: „Regionálna analýza dunajského regiónu“ CESCI – 2014</w:t>
      </w:r>
    </w:p>
    <w:p w:rsidR="00F01E1B" w:rsidRDefault="00F01E1B">
      <w:pPr>
        <w:spacing w:after="200" w:line="276" w:lineRule="auto"/>
        <w:rPr>
          <w:rFonts w:ascii="Arial" w:eastAsia="Times New Roman" w:hAnsi="Arial" w:cs="Times New Roman"/>
          <w:sz w:val="20"/>
          <w:szCs w:val="20"/>
          <w:lang w:val="de-DE" w:eastAsia="de-DE"/>
        </w:rPr>
      </w:pPr>
      <w:r>
        <w:rPr>
          <w:lang w:val="de-DE"/>
        </w:rPr>
        <w:br w:type="page"/>
      </w:r>
    </w:p>
    <w:p w:rsidR="00F01E1B" w:rsidRPr="0024099C" w:rsidRDefault="00F01E1B" w:rsidP="00F01E1B">
      <w:pPr>
        <w:pStyle w:val="mberschriftfigures"/>
        <w:rPr>
          <w:lang w:val="sk-SK"/>
        </w:rPr>
      </w:pPr>
      <w:r w:rsidRPr="0024099C">
        <w:rPr>
          <w:rFonts w:cs="Arial"/>
          <w:lang w:val="sk-SK"/>
        </w:rPr>
        <w:lastRenderedPageBreak/>
        <w:t>Výskyt významných povodní v dunajskom regióne</w:t>
      </w:r>
    </w:p>
    <w:p w:rsidR="00F01E1B" w:rsidRPr="0024099C" w:rsidRDefault="00F01E1B" w:rsidP="00F01E1B">
      <w:pPr>
        <w:pStyle w:val="mStandard"/>
        <w:rPr>
          <w:lang w:val="sk-SK"/>
        </w:rPr>
      </w:pPr>
      <w:r w:rsidRPr="0024099C">
        <w:rPr>
          <w:noProof/>
          <w:lang w:val="sk-SK" w:eastAsia="sk-SK"/>
        </w:rPr>
        <w:drawing>
          <wp:inline distT="0" distB="0" distL="0" distR="0">
            <wp:extent cx="4895850" cy="3455894"/>
            <wp:effectExtent l="19050" t="0" r="0" b="0"/>
            <wp:docPr id="64" name="Bild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3455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1E1B" w:rsidRPr="008141F9" w:rsidRDefault="00F01E1B" w:rsidP="00F01E1B">
      <w:pPr>
        <w:pStyle w:val="Bezmezer"/>
        <w:jc w:val="both"/>
        <w:rPr>
          <w:rFonts w:ascii="Arial" w:hAnsi="Arial" w:cs="Arial"/>
          <w:b/>
          <w:sz w:val="20"/>
          <w:szCs w:val="20"/>
        </w:rPr>
      </w:pPr>
      <w:r w:rsidRPr="008141F9">
        <w:rPr>
          <w:rFonts w:ascii="Arial" w:hAnsi="Arial" w:cs="Arial"/>
          <w:b/>
          <w:sz w:val="20"/>
          <w:szCs w:val="20"/>
        </w:rPr>
        <w:t>Povodňové udalosti v Európe, 1998 – 2009</w:t>
      </w:r>
    </w:p>
    <w:p w:rsidR="00F01E1B" w:rsidRPr="0024099C" w:rsidRDefault="00F01E1B" w:rsidP="00F01E1B">
      <w:pPr>
        <w:pStyle w:val="Bezmezer"/>
        <w:jc w:val="both"/>
        <w:rPr>
          <w:rFonts w:ascii="Arial" w:hAnsi="Arial" w:cs="Arial"/>
          <w:sz w:val="20"/>
          <w:szCs w:val="20"/>
        </w:rPr>
      </w:pPr>
      <w:r w:rsidRPr="0024099C">
        <w:rPr>
          <w:rFonts w:ascii="Arial" w:hAnsi="Arial" w:cs="Arial"/>
          <w:sz w:val="20"/>
          <w:szCs w:val="20"/>
        </w:rPr>
        <w:t>Počet udalostí</w:t>
      </w:r>
    </w:p>
    <w:p w:rsidR="00F01E1B" w:rsidRPr="0024099C" w:rsidRDefault="00F01E1B" w:rsidP="00F01E1B">
      <w:pPr>
        <w:pStyle w:val="mStandard"/>
        <w:rPr>
          <w:lang w:val="sk-SK"/>
        </w:rPr>
      </w:pPr>
    </w:p>
    <w:p w:rsidR="00F01E1B" w:rsidRPr="0024099C" w:rsidRDefault="00F01E1B" w:rsidP="00F01E1B">
      <w:pPr>
        <w:pStyle w:val="mQuelle"/>
        <w:rPr>
          <w:lang w:val="sk-SK"/>
        </w:rPr>
      </w:pPr>
      <w:r w:rsidRPr="0024099C">
        <w:rPr>
          <w:lang w:val="sk-SK"/>
        </w:rPr>
        <w:t>Zdroj: „Regionálna analýza dunajského regiónu“ CESCI – 2014</w:t>
      </w:r>
    </w:p>
    <w:p w:rsidR="00F01E1B" w:rsidRDefault="00F01E1B">
      <w:pPr>
        <w:spacing w:after="200" w:line="276" w:lineRule="auto"/>
        <w:rPr>
          <w:rFonts w:ascii="Arial" w:eastAsia="Times New Roman" w:hAnsi="Arial" w:cs="Times New Roman"/>
          <w:sz w:val="20"/>
          <w:szCs w:val="20"/>
          <w:lang w:val="de-DE" w:eastAsia="de-DE"/>
        </w:rPr>
      </w:pPr>
      <w:r>
        <w:rPr>
          <w:lang w:val="de-DE"/>
        </w:rPr>
        <w:br w:type="page"/>
      </w:r>
    </w:p>
    <w:p w:rsidR="00F01E1B" w:rsidRPr="0024099C" w:rsidRDefault="00F01E1B" w:rsidP="00F01E1B">
      <w:pPr>
        <w:pStyle w:val="mberschriftfigures"/>
        <w:rPr>
          <w:lang w:val="sk-SK"/>
        </w:rPr>
      </w:pPr>
      <w:bookmarkStart w:id="2" w:name="_Toc393886992"/>
      <w:r w:rsidRPr="0024099C">
        <w:rPr>
          <w:lang w:val="sk-SK"/>
        </w:rPr>
        <w:lastRenderedPageBreak/>
        <w:t>Zraniteľnosť vo vzťahu k zmene klímy v dunajskom regióne</w:t>
      </w:r>
      <w:bookmarkEnd w:id="2"/>
    </w:p>
    <w:p w:rsidR="00F01E1B" w:rsidRPr="0024099C" w:rsidRDefault="00F01E1B" w:rsidP="00F01E1B">
      <w:pPr>
        <w:pStyle w:val="mStandard"/>
        <w:rPr>
          <w:lang w:val="sk-SK"/>
        </w:rPr>
      </w:pPr>
      <w:r w:rsidRPr="0024099C">
        <w:rPr>
          <w:noProof/>
          <w:lang w:val="sk-SK" w:eastAsia="sk-SK"/>
        </w:rPr>
        <w:drawing>
          <wp:inline distT="0" distB="0" distL="0" distR="0">
            <wp:extent cx="4895850" cy="4964058"/>
            <wp:effectExtent l="19050" t="0" r="0" b="0"/>
            <wp:docPr id="65" name="Bild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4964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06"/>
        <w:gridCol w:w="4606"/>
      </w:tblGrid>
      <w:tr w:rsidR="00F01E1B" w:rsidRPr="0024099C" w:rsidTr="00863CED">
        <w:tc>
          <w:tcPr>
            <w:tcW w:w="4606" w:type="dxa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EURÓPSKA ÚNIA</w:t>
            </w:r>
          </w:p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Spolufinancované Európskym fondom regionálneho rozvoja</w:t>
            </w:r>
          </w:p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INVESTÍCIA DO VAŠEJ BUDÚCNOSTI</w:t>
            </w:r>
          </w:p>
        </w:tc>
        <w:tc>
          <w:tcPr>
            <w:tcW w:w="4606" w:type="dxa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Úroveň regiónov: NUTS3</w:t>
            </w:r>
          </w:p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Údaje: pozri zdroje údajov jednotlivých dimenzií vplyvu a prispôsobivosti</w:t>
            </w:r>
          </w:p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©EuroGeographics Association for administrative boundaries</w:t>
            </w:r>
          </w:p>
        </w:tc>
      </w:tr>
      <w:tr w:rsidR="00F01E1B" w:rsidRPr="00BC00BA" w:rsidTr="00863CED">
        <w:tc>
          <w:tcPr>
            <w:tcW w:w="4606" w:type="dxa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Najvyšší negatívny vplyv (0,5 – 1,0)</w:t>
            </w:r>
          </w:p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Stredný negatívny vplyv (0,3 - &lt;0,5)</w:t>
            </w:r>
          </w:p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Nízky negatívny vplyv (0,1 - &lt;0,3)</w:t>
            </w:r>
          </w:p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Žiaden/marginálny vplyv (&gt;-0,1 - &lt;0,1)</w:t>
            </w:r>
          </w:p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Nízky pozitívny vplyv (-0,1 - -0,25)</w:t>
            </w:r>
          </w:p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Žiadne údaje</w:t>
            </w:r>
          </w:p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Obmedzené údaje</w:t>
            </w:r>
          </w:p>
        </w:tc>
        <w:tc>
          <w:tcPr>
            <w:tcW w:w="4606" w:type="dxa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*Potenciálne vplyvy boli vypočítané ako kombinácia regionálneho vystavenia zmene klímy a najnovších údajov o vážených dimenziách fyzickej, ekonomickej, sociálnej, environmentálnej a kultúrnej citlivosti na zmenu klímy</w:t>
            </w:r>
          </w:p>
        </w:tc>
      </w:tr>
    </w:tbl>
    <w:p w:rsidR="00F01E1B" w:rsidRPr="0024099C" w:rsidRDefault="00F01E1B" w:rsidP="00F01E1B">
      <w:pPr>
        <w:pStyle w:val="mStandard"/>
        <w:rPr>
          <w:lang w:val="sk-SK"/>
        </w:rPr>
      </w:pPr>
    </w:p>
    <w:p w:rsidR="00F01E1B" w:rsidRPr="0024099C" w:rsidRDefault="00F01E1B" w:rsidP="00F01E1B">
      <w:pPr>
        <w:pStyle w:val="mQuelle"/>
        <w:rPr>
          <w:b/>
          <w:lang w:val="sk-SK"/>
        </w:rPr>
      </w:pPr>
      <w:r w:rsidRPr="0024099C">
        <w:rPr>
          <w:lang w:val="sk-SK"/>
        </w:rPr>
        <w:t>Zdroj: „Regionálna analýza dunajského regiónu“ CESCI – 2014</w:t>
      </w:r>
    </w:p>
    <w:p w:rsidR="00F01E1B" w:rsidRDefault="00F01E1B">
      <w:pPr>
        <w:spacing w:after="200" w:line="276" w:lineRule="auto"/>
        <w:rPr>
          <w:rFonts w:ascii="Arial" w:eastAsia="Times New Roman" w:hAnsi="Arial" w:cs="Times New Roman"/>
          <w:sz w:val="20"/>
          <w:szCs w:val="20"/>
          <w:lang w:val="de-DE" w:eastAsia="de-DE"/>
        </w:rPr>
      </w:pPr>
      <w:r>
        <w:rPr>
          <w:lang w:val="de-DE"/>
        </w:rPr>
        <w:br w:type="page"/>
      </w:r>
    </w:p>
    <w:p w:rsidR="00F01E1B" w:rsidRPr="0024099C" w:rsidRDefault="00F01E1B" w:rsidP="00F01E1B">
      <w:pPr>
        <w:pStyle w:val="mberschriftfigures"/>
        <w:rPr>
          <w:lang w:val="sk-SK"/>
        </w:rPr>
      </w:pPr>
      <w:r w:rsidRPr="0024099C">
        <w:rPr>
          <w:rFonts w:cs="Arial"/>
          <w:lang w:val="sk-SK"/>
        </w:rPr>
        <w:lastRenderedPageBreak/>
        <w:t>Potenciálna multimodálna dostupnosť</w:t>
      </w:r>
    </w:p>
    <w:p w:rsidR="00F01E1B" w:rsidRPr="0024099C" w:rsidRDefault="00F01E1B" w:rsidP="00F01E1B">
      <w:pPr>
        <w:pStyle w:val="mStandard"/>
        <w:rPr>
          <w:lang w:val="sk-SK"/>
        </w:rPr>
      </w:pPr>
      <w:r w:rsidRPr="0024099C">
        <w:rPr>
          <w:noProof/>
          <w:lang w:val="sk-SK" w:eastAsia="sk-SK"/>
        </w:rPr>
        <w:drawing>
          <wp:inline distT="0" distB="0" distL="0" distR="0">
            <wp:extent cx="4895850" cy="5638349"/>
            <wp:effectExtent l="19050" t="0" r="0" b="0"/>
            <wp:docPr id="66" name="Bil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5638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1E1B" w:rsidRPr="0024099C" w:rsidRDefault="00F01E1B" w:rsidP="00F01E1B">
      <w:pPr>
        <w:pStyle w:val="Bezmezer"/>
        <w:jc w:val="both"/>
        <w:rPr>
          <w:rFonts w:ascii="Arial" w:hAnsi="Arial" w:cs="Arial"/>
          <w:sz w:val="20"/>
          <w:szCs w:val="20"/>
        </w:rPr>
      </w:pPr>
      <w:r w:rsidRPr="0024099C">
        <w:rPr>
          <w:rFonts w:ascii="Arial" w:hAnsi="Arial" w:cs="Arial"/>
          <w:sz w:val="20"/>
          <w:szCs w:val="20"/>
        </w:rPr>
        <w:t>Táto mapa neodráža nevyhnutne názor Monitorovacieho výboru ESPON</w:t>
      </w:r>
    </w:p>
    <w:p w:rsidR="00F01E1B" w:rsidRPr="0024099C" w:rsidRDefault="00F01E1B" w:rsidP="00F01E1B">
      <w:pPr>
        <w:pStyle w:val="Bezmezer"/>
        <w:jc w:val="both"/>
        <w:rPr>
          <w:rFonts w:ascii="Arial" w:hAnsi="Arial" w:cs="Arial"/>
          <w:sz w:val="20"/>
          <w:szCs w:val="20"/>
        </w:rPr>
      </w:pP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06"/>
        <w:gridCol w:w="4606"/>
      </w:tblGrid>
      <w:tr w:rsidR="00F01E1B" w:rsidRPr="0024099C" w:rsidTr="00863CED">
        <w:tc>
          <w:tcPr>
            <w:tcW w:w="4606" w:type="dxa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EURÓPSKA ÚNIA</w:t>
            </w:r>
          </w:p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Spolufinancované Európskym fondom regionálneho rozvoja</w:t>
            </w:r>
          </w:p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INVESTÍCIA DO VAŠEJ BUDÚCNOSTI</w:t>
            </w:r>
          </w:p>
        </w:tc>
        <w:tc>
          <w:tcPr>
            <w:tcW w:w="4606" w:type="dxa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01E1B" w:rsidRPr="00BC00BA" w:rsidTr="00863CED">
        <w:tc>
          <w:tcPr>
            <w:tcW w:w="4606" w:type="dxa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Potenciálna dostupnosť, multimodálna</w:t>
            </w:r>
          </w:p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(2006, EÚ27 = 100)</w:t>
            </w:r>
          </w:p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...        - 25,0</w:t>
            </w:r>
          </w:p>
          <w:p w:rsidR="00F01E1B" w:rsidRPr="0024099C" w:rsidRDefault="00F01E1B" w:rsidP="00863CED">
            <w:pPr>
              <w:pStyle w:val="Bezmezer"/>
              <w:ind w:left="9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25,1 – 50,0</w:t>
            </w:r>
          </w:p>
          <w:p w:rsidR="00F01E1B" w:rsidRPr="0024099C" w:rsidRDefault="00F01E1B" w:rsidP="00863CED">
            <w:pPr>
              <w:pStyle w:val="Bezmezer"/>
              <w:ind w:left="9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50,1 – 75,0</w:t>
            </w:r>
          </w:p>
          <w:p w:rsidR="00F01E1B" w:rsidRPr="0024099C" w:rsidRDefault="00F01E1B" w:rsidP="00863CED">
            <w:pPr>
              <w:pStyle w:val="Bezmezer"/>
              <w:ind w:left="9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75,1 – 100,0</w:t>
            </w:r>
          </w:p>
          <w:p w:rsidR="00F01E1B" w:rsidRPr="0024099C" w:rsidRDefault="00F01E1B" w:rsidP="00863CED">
            <w:pPr>
              <w:pStyle w:val="Bezmezer"/>
              <w:ind w:left="9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100,1 – 125,0</w:t>
            </w:r>
          </w:p>
          <w:p w:rsidR="00F01E1B" w:rsidRPr="0024099C" w:rsidRDefault="00F01E1B" w:rsidP="00863CED">
            <w:pPr>
              <w:pStyle w:val="Bezmezer"/>
              <w:ind w:left="9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125,1 – 150,0</w:t>
            </w:r>
          </w:p>
          <w:p w:rsidR="00F01E1B" w:rsidRPr="0024099C" w:rsidRDefault="00F01E1B" w:rsidP="00863CED">
            <w:pPr>
              <w:pStyle w:val="Bezmezer"/>
              <w:ind w:left="9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150,1 – 175,0</w:t>
            </w:r>
          </w:p>
          <w:p w:rsidR="00F01E1B" w:rsidRPr="0024099C" w:rsidRDefault="00F01E1B" w:rsidP="00863CED">
            <w:pPr>
              <w:pStyle w:val="Bezmezer"/>
              <w:ind w:left="9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175,1 – 200,0</w:t>
            </w:r>
          </w:p>
          <w:p w:rsidR="00F01E1B" w:rsidRPr="0024099C" w:rsidRDefault="00F01E1B" w:rsidP="00863CED">
            <w:pPr>
              <w:pStyle w:val="Bezmezer"/>
              <w:ind w:left="9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200,1 - ...</w:t>
            </w:r>
          </w:p>
          <w:p w:rsidR="00F01E1B" w:rsidRPr="0024099C" w:rsidRDefault="00F01E1B" w:rsidP="00863CED">
            <w:pPr>
              <w:pStyle w:val="Bezmezer"/>
              <w:ind w:left="9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žiadne údaje</w:t>
            </w:r>
          </w:p>
        </w:tc>
        <w:tc>
          <w:tcPr>
            <w:tcW w:w="4606" w:type="dxa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©EuroGeographics Association for administrative boundaries</w:t>
            </w:r>
          </w:p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Úroveň regiónov: NUTS3</w:t>
            </w:r>
          </w:p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Pôvod údajov: Aktualizácia Dostupnosti ESPON, 2009</w:t>
            </w:r>
          </w:p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Zdroje: Databáza RRG GIS, Letecká sieť S&amp;W, Model dostupnosti S&amp;W</w:t>
            </w:r>
          </w:p>
        </w:tc>
      </w:tr>
    </w:tbl>
    <w:p w:rsidR="00F01E1B" w:rsidRPr="0024099C" w:rsidRDefault="00F01E1B" w:rsidP="00F01E1B">
      <w:pPr>
        <w:pStyle w:val="mStandard"/>
        <w:rPr>
          <w:lang w:val="sk-SK"/>
        </w:rPr>
      </w:pPr>
    </w:p>
    <w:p w:rsidR="00F01E1B" w:rsidRPr="0024099C" w:rsidRDefault="00F01E1B" w:rsidP="00F01E1B">
      <w:pPr>
        <w:pStyle w:val="mQuelle"/>
        <w:rPr>
          <w:b/>
          <w:lang w:val="sk-SK"/>
        </w:rPr>
      </w:pPr>
      <w:r w:rsidRPr="0024099C">
        <w:rPr>
          <w:lang w:val="sk-SK"/>
        </w:rPr>
        <w:lastRenderedPageBreak/>
        <w:t>Zdroj: „Regionálna analýza dunajského regiónu“ CESCI – 2014</w:t>
      </w:r>
    </w:p>
    <w:p w:rsidR="00F01E1B" w:rsidRDefault="00F01E1B">
      <w:pPr>
        <w:spacing w:after="200" w:line="276" w:lineRule="auto"/>
        <w:rPr>
          <w:rFonts w:ascii="Arial" w:eastAsia="Times New Roman" w:hAnsi="Arial" w:cs="Times New Roman"/>
          <w:sz w:val="20"/>
          <w:szCs w:val="20"/>
          <w:lang w:val="de-DE" w:eastAsia="de-DE"/>
        </w:rPr>
      </w:pPr>
      <w:r>
        <w:rPr>
          <w:lang w:val="de-DE"/>
        </w:rPr>
        <w:br w:type="page"/>
      </w:r>
    </w:p>
    <w:p w:rsidR="00F01E1B" w:rsidRPr="0024099C" w:rsidRDefault="00F01E1B" w:rsidP="00F01E1B">
      <w:pPr>
        <w:pStyle w:val="mberschriftfigures"/>
        <w:rPr>
          <w:noProof/>
          <w:lang w:val="sk-SK" w:eastAsia="sk-SK"/>
        </w:rPr>
      </w:pPr>
      <w:bookmarkStart w:id="3" w:name="_Toc398031852"/>
      <w:bookmarkStart w:id="4" w:name="_Toc398050008"/>
      <w:r w:rsidRPr="0024099C">
        <w:rPr>
          <w:lang w:val="sk-SK"/>
        </w:rPr>
        <w:lastRenderedPageBreak/>
        <w:t xml:space="preserve">Prehľad prioritných osí a </w:t>
      </w:r>
      <w:r w:rsidR="00342A14">
        <w:rPr>
          <w:lang w:val="sk-SK"/>
        </w:rPr>
        <w:t>konkrétnych</w:t>
      </w:r>
      <w:r w:rsidRPr="0024099C">
        <w:rPr>
          <w:lang w:val="sk-SK"/>
        </w:rPr>
        <w:t xml:space="preserve"> cieľov programu spolupráce.</w:t>
      </w:r>
      <w:bookmarkEnd w:id="3"/>
      <w:bookmarkEnd w:id="4"/>
      <w:r w:rsidRPr="0024099C">
        <w:rPr>
          <w:noProof/>
          <w:lang w:val="sk-SK" w:eastAsia="sk-SK"/>
        </w:rPr>
        <w:t xml:space="preserve"> </w:t>
      </w:r>
      <w:r w:rsidRPr="0024099C">
        <w:rPr>
          <w:noProof/>
          <w:lang w:val="sk-SK" w:eastAsia="sk-SK"/>
        </w:rPr>
        <w:drawing>
          <wp:inline distT="0" distB="0" distL="0" distR="0">
            <wp:extent cx="5109149" cy="4038600"/>
            <wp:effectExtent l="19050" t="0" r="0" b="0"/>
            <wp:docPr id="11" name="Bil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0024" cy="4039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Mkatabulky"/>
        <w:tblW w:w="0" w:type="auto"/>
        <w:tblLook w:val="04A0"/>
      </w:tblPr>
      <w:tblGrid>
        <w:gridCol w:w="2303"/>
        <w:gridCol w:w="2303"/>
        <w:gridCol w:w="2303"/>
        <w:gridCol w:w="2303"/>
      </w:tblGrid>
      <w:tr w:rsidR="00F01E1B" w:rsidRPr="00BC00BA" w:rsidTr="00863CED">
        <w:tc>
          <w:tcPr>
            <w:tcW w:w="9212" w:type="dxa"/>
            <w:gridSpan w:val="4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24099C">
              <w:rPr>
                <w:rFonts w:ascii="Arial" w:hAnsi="Arial" w:cs="Arial"/>
                <w:b/>
                <w:sz w:val="20"/>
                <w:szCs w:val="20"/>
              </w:rPr>
              <w:t>Stratégia EURÓPA 2020 a Stratégia EÚ pre dunajský región</w:t>
            </w:r>
          </w:p>
        </w:tc>
      </w:tr>
      <w:tr w:rsidR="00F01E1B" w:rsidRPr="00BC00BA" w:rsidTr="00863CED">
        <w:tc>
          <w:tcPr>
            <w:tcW w:w="9212" w:type="dxa"/>
            <w:gridSpan w:val="4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Dunajský nadnárodný program 2014-2020</w:t>
            </w:r>
          </w:p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73039">
              <w:rPr>
                <w:rFonts w:ascii="Arial" w:hAnsi="Arial" w:cs="Arial"/>
                <w:sz w:val="20"/>
                <w:szCs w:val="20"/>
              </w:rPr>
              <w:t>Politický stimul</w:t>
            </w:r>
            <w:r w:rsidRPr="0024099C">
              <w:rPr>
                <w:rFonts w:ascii="Arial" w:hAnsi="Arial" w:cs="Arial"/>
                <w:sz w:val="20"/>
                <w:szCs w:val="20"/>
              </w:rPr>
              <w:t xml:space="preserve"> a pionier na riešenie spoločných výziev a potrieb</w:t>
            </w:r>
          </w:p>
        </w:tc>
      </w:tr>
      <w:tr w:rsidR="00F01E1B" w:rsidRPr="00BC00BA" w:rsidTr="00863CED">
        <w:tc>
          <w:tcPr>
            <w:tcW w:w="2303" w:type="dxa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PO1 – Inovatívny a sociálne zodpovedný dunajský región</w:t>
            </w:r>
          </w:p>
        </w:tc>
        <w:tc>
          <w:tcPr>
            <w:tcW w:w="2303" w:type="dxa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 xml:space="preserve">PO2 - </w:t>
            </w:r>
            <w:r w:rsidRPr="0024099C">
              <w:rPr>
                <w:rFonts w:ascii="Arial" w:eastAsia="Times New Roman" w:hAnsi="Arial" w:cs="Arial"/>
                <w:sz w:val="20"/>
                <w:szCs w:val="20"/>
              </w:rPr>
              <w:t xml:space="preserve">Dunajský región zodpovedný 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>voči</w:t>
            </w:r>
            <w:r w:rsidRPr="0024099C">
              <w:rPr>
                <w:rFonts w:ascii="Arial" w:eastAsia="Times New Roman" w:hAnsi="Arial" w:cs="Arial"/>
                <w:sz w:val="20"/>
                <w:szCs w:val="20"/>
              </w:rPr>
              <w:t xml:space="preserve"> životné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>mu</w:t>
            </w:r>
            <w:r w:rsidRPr="0024099C">
              <w:rPr>
                <w:rFonts w:ascii="Arial" w:eastAsia="Times New Roman" w:hAnsi="Arial" w:cs="Arial"/>
                <w:sz w:val="20"/>
                <w:szCs w:val="20"/>
              </w:rPr>
              <w:t xml:space="preserve"> prostredi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>u</w:t>
            </w:r>
            <w:r w:rsidRPr="0024099C">
              <w:rPr>
                <w:rFonts w:ascii="Arial" w:eastAsia="Times New Roman" w:hAnsi="Arial" w:cs="Arial"/>
                <w:sz w:val="20"/>
                <w:szCs w:val="20"/>
              </w:rPr>
              <w:t xml:space="preserve"> a kultúr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>e</w:t>
            </w:r>
          </w:p>
        </w:tc>
        <w:tc>
          <w:tcPr>
            <w:tcW w:w="2303" w:type="dxa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 xml:space="preserve">PO3 - </w:t>
            </w:r>
            <w:r w:rsidRPr="0024099C">
              <w:rPr>
                <w:rFonts w:ascii="Arial" w:eastAsia="Times New Roman" w:hAnsi="Arial" w:cs="Arial"/>
                <w:sz w:val="20"/>
                <w:szCs w:val="20"/>
              </w:rPr>
              <w:t>Lepšie prepojený a energeticky zodpovedný dunajský región</w:t>
            </w:r>
          </w:p>
        </w:tc>
        <w:tc>
          <w:tcPr>
            <w:tcW w:w="2303" w:type="dxa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PO4 – Dobre spravovaný dunajský región</w:t>
            </w:r>
          </w:p>
        </w:tc>
      </w:tr>
      <w:tr w:rsidR="00F01E1B" w:rsidRPr="00BC00BA" w:rsidTr="00863CED">
        <w:tc>
          <w:tcPr>
            <w:tcW w:w="2303" w:type="dxa"/>
            <w:vMerge w:val="restart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1.1 Zlepšiť rámcové podmienky pre inovácie (1b)</w:t>
            </w:r>
          </w:p>
        </w:tc>
        <w:tc>
          <w:tcPr>
            <w:tcW w:w="2303" w:type="dxa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2.1 Podporiť udržateľné využívanie prírodného a kultúrneho dedičstva (6c)</w:t>
            </w:r>
          </w:p>
        </w:tc>
        <w:tc>
          <w:tcPr>
            <w:tcW w:w="2303" w:type="dxa"/>
            <w:vMerge w:val="restart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3.1 Podporiť dopravné systémy, ktoré sú šetrné k životnému prostrediu a bezpečné, a vyváženú dostupnosť mestských a vidieckych oblastí (7c)</w:t>
            </w:r>
          </w:p>
        </w:tc>
        <w:tc>
          <w:tcPr>
            <w:tcW w:w="2303" w:type="dxa"/>
            <w:vMerge w:val="restart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4.1 Zlepšiť inštitucionálne kapacity na riešenie významných spoločenských výziev (11)</w:t>
            </w:r>
          </w:p>
        </w:tc>
      </w:tr>
      <w:tr w:rsidR="00F01E1B" w:rsidRPr="00BC00BA" w:rsidTr="00863CED">
        <w:tc>
          <w:tcPr>
            <w:tcW w:w="2303" w:type="dxa"/>
            <w:vMerge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03" w:type="dxa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2.2 Podporiť obnovu a manažment ekologických koridorov (6d)</w:t>
            </w:r>
          </w:p>
        </w:tc>
        <w:tc>
          <w:tcPr>
            <w:tcW w:w="2303" w:type="dxa"/>
            <w:vMerge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03" w:type="dxa"/>
            <w:vMerge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01E1B" w:rsidRPr="0024099C" w:rsidTr="00863CED">
        <w:tc>
          <w:tcPr>
            <w:tcW w:w="2303" w:type="dxa"/>
            <w:vMerge w:val="restart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1.2 Zlepšiť schopnosti v oblasti podnikových a sociálnych inovácií (1b)</w:t>
            </w:r>
          </w:p>
        </w:tc>
        <w:tc>
          <w:tcPr>
            <w:tcW w:w="2303" w:type="dxa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2.3 Posilniť nadnárodné vodné hospodárstvo a predchádzanie povodňovým rizikám (6d)</w:t>
            </w:r>
          </w:p>
        </w:tc>
        <w:tc>
          <w:tcPr>
            <w:tcW w:w="2303" w:type="dxa"/>
            <w:vMerge w:val="restart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3.2 Zlepšiť energetickú bezpečnosť a energetickú efektívnosť (7e)</w:t>
            </w:r>
          </w:p>
        </w:tc>
        <w:tc>
          <w:tcPr>
            <w:tcW w:w="2303" w:type="dxa"/>
            <w:vMerge w:val="restart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4.2 Podporiť správu (governance) a implementáciu SEÚDR (11)</w:t>
            </w:r>
          </w:p>
        </w:tc>
      </w:tr>
      <w:tr w:rsidR="00F01E1B" w:rsidRPr="00BC00BA" w:rsidTr="00863CED">
        <w:tc>
          <w:tcPr>
            <w:tcW w:w="2303" w:type="dxa"/>
            <w:vMerge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03" w:type="dxa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2.4 Zlepšiť pripravenosť na zvládanie rizika katastrof</w:t>
            </w:r>
          </w:p>
        </w:tc>
        <w:tc>
          <w:tcPr>
            <w:tcW w:w="2303" w:type="dxa"/>
            <w:vMerge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03" w:type="dxa"/>
            <w:vMerge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01E1B" w:rsidRPr="00BC00BA" w:rsidTr="00863CED">
        <w:tc>
          <w:tcPr>
            <w:tcW w:w="2303" w:type="dxa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PO5 – Technická pomoc</w:t>
            </w:r>
          </w:p>
        </w:tc>
        <w:tc>
          <w:tcPr>
            <w:tcW w:w="6909" w:type="dxa"/>
            <w:gridSpan w:val="3"/>
          </w:tcPr>
          <w:p w:rsidR="00F01E1B" w:rsidRPr="0024099C" w:rsidRDefault="00F01E1B" w:rsidP="00863CED">
            <w:pPr>
              <w:pStyle w:val="Bezmezer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4099C">
              <w:rPr>
                <w:rFonts w:ascii="Arial" w:hAnsi="Arial" w:cs="Arial"/>
                <w:sz w:val="20"/>
                <w:szCs w:val="20"/>
              </w:rPr>
              <w:t>Zabezpečiť efektívnu a hladkú implementáciu DNP</w:t>
            </w:r>
          </w:p>
        </w:tc>
      </w:tr>
    </w:tbl>
    <w:p w:rsidR="00F01E1B" w:rsidRDefault="00F01E1B" w:rsidP="00466C19">
      <w:pPr>
        <w:pStyle w:val="mberschriftfigures"/>
        <w:numPr>
          <w:ilvl w:val="0"/>
          <w:numId w:val="0"/>
        </w:numPr>
      </w:pPr>
      <w:r w:rsidRPr="0024099C">
        <w:rPr>
          <w:lang w:val="sk-SK"/>
        </w:rPr>
        <w:t>Zdroj: Metis na základe PV</w:t>
      </w:r>
      <w:r>
        <w:br w:type="page"/>
      </w:r>
    </w:p>
    <w:p w:rsidR="00466C19" w:rsidRPr="0024099C" w:rsidRDefault="00466C19" w:rsidP="00466C19">
      <w:pPr>
        <w:rPr>
          <w:rFonts w:cs="Arial"/>
          <w:sz w:val="20"/>
          <w:szCs w:val="20"/>
        </w:rPr>
      </w:pPr>
    </w:p>
    <w:p w:rsidR="00466C19" w:rsidRPr="0024099C" w:rsidRDefault="00466C19" w:rsidP="00466C19">
      <w:pPr>
        <w:rPr>
          <w:rFonts w:cs="Arial"/>
          <w:sz w:val="20"/>
          <w:szCs w:val="20"/>
        </w:rPr>
      </w:pPr>
      <w:r w:rsidRPr="0024099C">
        <w:rPr>
          <w:rFonts w:cs="Arial"/>
          <w:noProof/>
          <w:sz w:val="20"/>
          <w:szCs w:val="20"/>
        </w:rPr>
        <w:drawing>
          <wp:inline distT="0" distB="0" distL="0" distR="0">
            <wp:extent cx="4804913" cy="2130724"/>
            <wp:effectExtent l="19050" t="0" r="14737" b="2876"/>
            <wp:docPr id="20" name="Chart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466C19" w:rsidRPr="0024099C" w:rsidRDefault="00466C19" w:rsidP="00466C19">
      <w:pPr>
        <w:jc w:val="center"/>
        <w:rPr>
          <w:rFonts w:cs="Arial"/>
          <w:sz w:val="20"/>
          <w:szCs w:val="20"/>
        </w:rPr>
      </w:pPr>
      <w:r w:rsidRPr="0024099C">
        <w:rPr>
          <w:rFonts w:cs="Arial"/>
          <w:sz w:val="20"/>
          <w:szCs w:val="20"/>
        </w:rPr>
        <w:t>Počet obdržaných pripomienok</w:t>
      </w:r>
    </w:p>
    <w:p w:rsidR="00466C19" w:rsidRPr="0024099C" w:rsidRDefault="00466C19" w:rsidP="00466C19">
      <w:pPr>
        <w:rPr>
          <w:rFonts w:cs="Arial"/>
          <w:sz w:val="20"/>
          <w:szCs w:val="20"/>
        </w:rPr>
      </w:pPr>
      <w:r w:rsidRPr="0024099C">
        <w:rPr>
          <w:rFonts w:cs="Arial"/>
          <w:sz w:val="20"/>
          <w:szCs w:val="20"/>
        </w:rPr>
        <w:t>Všeobecný obsah</w:t>
      </w:r>
      <w:r w:rsidRPr="0024099C">
        <w:rPr>
          <w:rFonts w:cs="Arial"/>
          <w:sz w:val="20"/>
          <w:szCs w:val="20"/>
        </w:rPr>
        <w:tab/>
        <w:t>Prioritná os 1</w:t>
      </w:r>
      <w:r w:rsidRPr="0024099C">
        <w:rPr>
          <w:rFonts w:cs="Arial"/>
          <w:sz w:val="20"/>
          <w:szCs w:val="20"/>
        </w:rPr>
        <w:tab/>
        <w:t>Prioritná os 2</w:t>
      </w:r>
      <w:r w:rsidRPr="0024099C">
        <w:rPr>
          <w:rFonts w:cs="Arial"/>
          <w:sz w:val="20"/>
          <w:szCs w:val="20"/>
        </w:rPr>
        <w:tab/>
        <w:t>Prioritná os 3</w:t>
      </w:r>
      <w:r w:rsidRPr="0024099C">
        <w:rPr>
          <w:rFonts w:cs="Arial"/>
          <w:sz w:val="20"/>
          <w:szCs w:val="20"/>
        </w:rPr>
        <w:tab/>
        <w:t>Prioritná os 4</w:t>
      </w:r>
    </w:p>
    <w:p w:rsidR="00466C19" w:rsidRPr="0024099C" w:rsidRDefault="00466C19" w:rsidP="00466C19">
      <w:pPr>
        <w:pStyle w:val="mQuelle"/>
        <w:rPr>
          <w:lang w:val="sk-SK"/>
        </w:rPr>
      </w:pPr>
      <w:bookmarkStart w:id="5" w:name="_Toc393812766"/>
      <w:r w:rsidRPr="0024099C">
        <w:rPr>
          <w:lang w:val="sk-SK"/>
        </w:rPr>
        <w:t>Zdroj: Správa o verejnom konzultačnom postupe, 24. júna 2014</w:t>
      </w:r>
    </w:p>
    <w:bookmarkEnd w:id="5"/>
    <w:p w:rsidR="00466C19" w:rsidRDefault="00466C19" w:rsidP="00F01E1B">
      <w:pPr>
        <w:ind w:left="360"/>
        <w:rPr>
          <w:rFonts w:cs="Arial"/>
          <w:sz w:val="20"/>
          <w:szCs w:val="20"/>
        </w:rPr>
      </w:pPr>
    </w:p>
    <w:p w:rsidR="00F01E1B" w:rsidRPr="0024099C" w:rsidRDefault="00F01E1B" w:rsidP="00F01E1B">
      <w:pPr>
        <w:ind w:left="360"/>
        <w:rPr>
          <w:rFonts w:cs="Arial"/>
          <w:sz w:val="20"/>
          <w:szCs w:val="20"/>
        </w:rPr>
      </w:pPr>
      <w:r w:rsidRPr="0024099C">
        <w:rPr>
          <w:rFonts w:cs="Arial"/>
          <w:noProof/>
          <w:sz w:val="20"/>
          <w:szCs w:val="20"/>
        </w:rPr>
        <w:drawing>
          <wp:inline distT="0" distB="0" distL="0" distR="0">
            <wp:extent cx="4684144" cy="1863306"/>
            <wp:effectExtent l="19050" t="0" r="21206" b="3594"/>
            <wp:docPr id="12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F01E1B" w:rsidRPr="0024099C" w:rsidRDefault="00F01E1B" w:rsidP="00466C19">
      <w:pPr>
        <w:jc w:val="center"/>
        <w:rPr>
          <w:rFonts w:cs="Arial"/>
          <w:sz w:val="20"/>
          <w:szCs w:val="20"/>
        </w:rPr>
      </w:pPr>
      <w:r w:rsidRPr="0024099C">
        <w:rPr>
          <w:rFonts w:cs="Arial"/>
          <w:sz w:val="20"/>
          <w:szCs w:val="20"/>
        </w:rPr>
        <w:t>Počet respondentov podľa štátu</w:t>
      </w:r>
    </w:p>
    <w:p w:rsidR="00F01E1B" w:rsidRPr="0024099C" w:rsidRDefault="00F01E1B" w:rsidP="00F01E1B">
      <w:pPr>
        <w:pStyle w:val="mQuelle"/>
        <w:rPr>
          <w:lang w:val="sk-SK"/>
        </w:rPr>
      </w:pPr>
      <w:r w:rsidRPr="0024099C">
        <w:rPr>
          <w:lang w:val="sk-SK"/>
        </w:rPr>
        <w:t>Zdroj: Správa o verejnom konzultačnom postupe, 24. júna 2014</w:t>
      </w:r>
    </w:p>
    <w:p w:rsidR="00F01E1B" w:rsidRPr="0024099C" w:rsidRDefault="00F01E1B" w:rsidP="00F01E1B">
      <w:pPr>
        <w:ind w:left="360"/>
        <w:rPr>
          <w:rFonts w:cs="Arial"/>
          <w:sz w:val="20"/>
          <w:szCs w:val="20"/>
        </w:rPr>
      </w:pPr>
      <w:r w:rsidRPr="0024099C">
        <w:rPr>
          <w:rFonts w:cs="Arial"/>
          <w:noProof/>
          <w:sz w:val="20"/>
          <w:szCs w:val="20"/>
        </w:rPr>
        <w:drawing>
          <wp:inline distT="0" distB="0" distL="0" distR="0">
            <wp:extent cx="4587456" cy="1949570"/>
            <wp:effectExtent l="19050" t="0" r="22644" b="0"/>
            <wp:docPr id="13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E96E85" w:rsidRDefault="00E96E85" w:rsidP="00466C19">
      <w:pPr>
        <w:jc w:val="center"/>
        <w:rPr>
          <w:rFonts w:cs="Arial"/>
          <w:sz w:val="20"/>
          <w:szCs w:val="20"/>
        </w:rPr>
      </w:pPr>
    </w:p>
    <w:p w:rsidR="00F01E1B" w:rsidRPr="0024099C" w:rsidRDefault="00F01E1B" w:rsidP="00466C19">
      <w:pPr>
        <w:jc w:val="center"/>
        <w:rPr>
          <w:rFonts w:cs="Arial"/>
          <w:sz w:val="20"/>
          <w:szCs w:val="20"/>
        </w:rPr>
      </w:pPr>
      <w:r w:rsidRPr="0024099C">
        <w:rPr>
          <w:rFonts w:cs="Arial"/>
          <w:sz w:val="20"/>
          <w:szCs w:val="20"/>
        </w:rPr>
        <w:t>Oblasť kompetentnosti</w:t>
      </w:r>
    </w:p>
    <w:p w:rsidR="00F01E1B" w:rsidRPr="0024099C" w:rsidRDefault="00F01E1B" w:rsidP="00F01E1B">
      <w:pPr>
        <w:rPr>
          <w:rFonts w:cs="Arial"/>
          <w:sz w:val="20"/>
          <w:szCs w:val="20"/>
        </w:rPr>
      </w:pP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842"/>
        <w:gridCol w:w="2316"/>
        <w:gridCol w:w="1368"/>
        <w:gridCol w:w="1843"/>
        <w:gridCol w:w="1843"/>
      </w:tblGrid>
      <w:tr w:rsidR="00F01E1B" w:rsidRPr="00BF595E" w:rsidTr="00863CED">
        <w:tc>
          <w:tcPr>
            <w:tcW w:w="1842" w:type="dxa"/>
          </w:tcPr>
          <w:p w:rsidR="00F01E1B" w:rsidRPr="0024099C" w:rsidRDefault="00F01E1B" w:rsidP="00863CED">
            <w:pPr>
              <w:rPr>
                <w:rFonts w:cs="Arial"/>
                <w:sz w:val="20"/>
                <w:szCs w:val="20"/>
              </w:rPr>
            </w:pPr>
            <w:r w:rsidRPr="0024099C">
              <w:rPr>
                <w:rFonts w:cs="Arial"/>
                <w:sz w:val="20"/>
                <w:szCs w:val="20"/>
              </w:rPr>
              <w:t>Výskum a inovácie</w:t>
            </w:r>
          </w:p>
        </w:tc>
        <w:tc>
          <w:tcPr>
            <w:tcW w:w="2316" w:type="dxa"/>
          </w:tcPr>
          <w:p w:rsidR="00F01E1B" w:rsidRPr="0024099C" w:rsidRDefault="00F01E1B" w:rsidP="00863CED">
            <w:pPr>
              <w:rPr>
                <w:rFonts w:cs="Arial"/>
                <w:sz w:val="20"/>
                <w:szCs w:val="20"/>
              </w:rPr>
            </w:pPr>
            <w:r w:rsidRPr="0024099C">
              <w:rPr>
                <w:rFonts w:cs="Arial"/>
                <w:sz w:val="20"/>
                <w:szCs w:val="20"/>
              </w:rPr>
              <w:t>Životné prostredie a efektívne využívanie zdrojov</w:t>
            </w:r>
          </w:p>
        </w:tc>
        <w:tc>
          <w:tcPr>
            <w:tcW w:w="1368" w:type="dxa"/>
          </w:tcPr>
          <w:p w:rsidR="00F01E1B" w:rsidRPr="0024099C" w:rsidRDefault="00F01E1B" w:rsidP="00863CED">
            <w:pPr>
              <w:rPr>
                <w:rFonts w:cs="Arial"/>
                <w:sz w:val="20"/>
                <w:szCs w:val="20"/>
              </w:rPr>
            </w:pPr>
            <w:r w:rsidRPr="0024099C">
              <w:rPr>
                <w:rFonts w:cs="Arial"/>
                <w:sz w:val="20"/>
                <w:szCs w:val="20"/>
              </w:rPr>
              <w:t>Doprava</w:t>
            </w:r>
          </w:p>
        </w:tc>
        <w:tc>
          <w:tcPr>
            <w:tcW w:w="1843" w:type="dxa"/>
          </w:tcPr>
          <w:p w:rsidR="00F01E1B" w:rsidRPr="0024099C" w:rsidRDefault="00F01E1B" w:rsidP="00863CED">
            <w:pPr>
              <w:rPr>
                <w:rFonts w:cs="Arial"/>
                <w:sz w:val="20"/>
                <w:szCs w:val="20"/>
              </w:rPr>
            </w:pPr>
            <w:r w:rsidRPr="0024099C">
              <w:rPr>
                <w:rFonts w:cs="Arial"/>
                <w:sz w:val="20"/>
                <w:szCs w:val="20"/>
              </w:rPr>
              <w:t>Správa (governance)</w:t>
            </w:r>
          </w:p>
        </w:tc>
        <w:tc>
          <w:tcPr>
            <w:tcW w:w="1843" w:type="dxa"/>
          </w:tcPr>
          <w:p w:rsidR="00F01E1B" w:rsidRPr="0024099C" w:rsidRDefault="00F01E1B" w:rsidP="00863CED">
            <w:pPr>
              <w:rPr>
                <w:rFonts w:cs="Arial"/>
                <w:sz w:val="20"/>
                <w:szCs w:val="20"/>
              </w:rPr>
            </w:pPr>
            <w:r w:rsidRPr="0024099C">
              <w:rPr>
                <w:rFonts w:cs="Arial"/>
                <w:sz w:val="20"/>
                <w:szCs w:val="20"/>
              </w:rPr>
              <w:t>Iná</w:t>
            </w:r>
          </w:p>
        </w:tc>
      </w:tr>
    </w:tbl>
    <w:p w:rsidR="00F01E1B" w:rsidRPr="0024099C" w:rsidRDefault="00F01E1B" w:rsidP="00F01E1B">
      <w:pPr>
        <w:pStyle w:val="mQuelle"/>
        <w:rPr>
          <w:lang w:val="sk-SK"/>
        </w:rPr>
      </w:pPr>
      <w:r w:rsidRPr="0024099C">
        <w:rPr>
          <w:lang w:val="sk-SK"/>
        </w:rPr>
        <w:t>Zdroj: Správa o verejnom konzultačnom postupe, 24. júna 2014</w:t>
      </w:r>
    </w:p>
    <w:p w:rsidR="00F01E1B" w:rsidRPr="00F01E1B" w:rsidRDefault="00F01E1B" w:rsidP="00F01E1B">
      <w:pPr>
        <w:pStyle w:val="mStandard"/>
        <w:rPr>
          <w:lang w:val="de-DE"/>
        </w:rPr>
      </w:pPr>
    </w:p>
    <w:sectPr w:rsidR="00F01E1B" w:rsidRPr="00F01E1B" w:rsidSect="00487E7E">
      <w:headerReference w:type="even" r:id="rId28"/>
      <w:headerReference w:type="default" r:id="rId29"/>
      <w:footerReference w:type="even" r:id="rId30"/>
      <w:footerReference w:type="default" r:id="rId3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14D32" w:rsidRPr="004F655C" w:rsidRDefault="00314D32" w:rsidP="00487E7E">
      <w:pPr>
        <w:rPr>
          <w:rFonts w:ascii="Arial" w:eastAsia="Times New Roman" w:hAnsi="Arial" w:cs="Times New Roman"/>
          <w:sz w:val="18"/>
          <w:szCs w:val="24"/>
          <w:lang w:val="en-GB" w:eastAsia="de-DE"/>
        </w:rPr>
      </w:pPr>
      <w:r>
        <w:separator/>
      </w:r>
    </w:p>
  </w:endnote>
  <w:endnote w:type="continuationSeparator" w:id="1">
    <w:p w:rsidR="00314D32" w:rsidRPr="004F655C" w:rsidRDefault="00314D32" w:rsidP="00487E7E">
      <w:pPr>
        <w:rPr>
          <w:rFonts w:ascii="Arial" w:eastAsia="Times New Roman" w:hAnsi="Arial" w:cs="Times New Roman"/>
          <w:sz w:val="18"/>
          <w:szCs w:val="24"/>
          <w:lang w:val="en-GB" w:eastAsia="de-DE"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2FDC" w:rsidRDefault="00842FDC" w:rsidP="00842FDC">
    <w:pPr>
      <w:pStyle w:val="Zhlav"/>
      <w:pBdr>
        <w:bottom w:val="single" w:sz="4" w:space="1" w:color="A5A5A5" w:themeColor="background1" w:themeShade="A5"/>
      </w:pBdr>
      <w:tabs>
        <w:tab w:val="left" w:pos="2580"/>
        <w:tab w:val="left" w:pos="2985"/>
      </w:tabs>
      <w:spacing w:after="120" w:line="276" w:lineRule="auto"/>
      <w:rPr>
        <w:color w:val="808080" w:themeColor="text1" w:themeTint="7F"/>
      </w:rPr>
    </w:pPr>
    <w:r>
      <w:rPr>
        <w:color w:val="808080" w:themeColor="text1" w:themeTint="7F"/>
      </w:rPr>
      <w:t xml:space="preserve">strana </w:t>
    </w:r>
    <w:r w:rsidR="00893A26" w:rsidRPr="00842FDC">
      <w:rPr>
        <w:color w:val="808080" w:themeColor="text1" w:themeTint="7F"/>
      </w:rPr>
      <w:fldChar w:fldCharType="begin"/>
    </w:r>
    <w:r w:rsidRPr="00842FDC">
      <w:rPr>
        <w:color w:val="808080" w:themeColor="text1" w:themeTint="7F"/>
      </w:rPr>
      <w:instrText xml:space="preserve"> PAGE   \* MERGEFORMAT </w:instrText>
    </w:r>
    <w:r w:rsidR="00893A26" w:rsidRPr="00842FDC">
      <w:rPr>
        <w:color w:val="808080" w:themeColor="text1" w:themeTint="7F"/>
      </w:rPr>
      <w:fldChar w:fldCharType="separate"/>
    </w:r>
    <w:r w:rsidR="00342A14">
      <w:rPr>
        <w:noProof/>
        <w:color w:val="808080" w:themeColor="text1" w:themeTint="7F"/>
      </w:rPr>
      <w:t>12</w:t>
    </w:r>
    <w:r w:rsidR="00893A26" w:rsidRPr="00842FDC">
      <w:rPr>
        <w:color w:val="808080" w:themeColor="text1" w:themeTint="7F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2FDC" w:rsidRDefault="00842FDC" w:rsidP="00842FDC">
    <w:pPr>
      <w:pStyle w:val="Zhlav"/>
      <w:pBdr>
        <w:bottom w:val="single" w:sz="4" w:space="1" w:color="A5A5A5" w:themeColor="background1" w:themeShade="A5"/>
      </w:pBdr>
      <w:tabs>
        <w:tab w:val="left" w:pos="2580"/>
        <w:tab w:val="left" w:pos="2985"/>
      </w:tabs>
      <w:spacing w:after="120" w:line="276" w:lineRule="auto"/>
      <w:jc w:val="right"/>
      <w:rPr>
        <w:color w:val="808080" w:themeColor="text1" w:themeTint="7F"/>
      </w:rPr>
    </w:pPr>
    <w:r>
      <w:rPr>
        <w:color w:val="808080" w:themeColor="text1" w:themeTint="7F"/>
      </w:rPr>
      <w:t xml:space="preserve">strana </w:t>
    </w:r>
    <w:r w:rsidR="00893A26" w:rsidRPr="00842FDC">
      <w:rPr>
        <w:color w:val="808080" w:themeColor="text1" w:themeTint="7F"/>
      </w:rPr>
      <w:fldChar w:fldCharType="begin"/>
    </w:r>
    <w:r w:rsidRPr="00842FDC">
      <w:rPr>
        <w:color w:val="808080" w:themeColor="text1" w:themeTint="7F"/>
      </w:rPr>
      <w:instrText xml:space="preserve"> PAGE   \* MERGEFORMAT </w:instrText>
    </w:r>
    <w:r w:rsidR="00893A26" w:rsidRPr="00842FDC">
      <w:rPr>
        <w:color w:val="808080" w:themeColor="text1" w:themeTint="7F"/>
      </w:rPr>
      <w:fldChar w:fldCharType="separate"/>
    </w:r>
    <w:r w:rsidR="00342A14">
      <w:rPr>
        <w:noProof/>
        <w:color w:val="808080" w:themeColor="text1" w:themeTint="7F"/>
      </w:rPr>
      <w:t>13</w:t>
    </w:r>
    <w:r w:rsidR="00893A26" w:rsidRPr="00842FDC">
      <w:rPr>
        <w:color w:val="808080" w:themeColor="text1" w:themeTint="7F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14D32" w:rsidRPr="004F655C" w:rsidRDefault="00314D32" w:rsidP="00487E7E">
      <w:pPr>
        <w:rPr>
          <w:rFonts w:ascii="Arial" w:eastAsia="Times New Roman" w:hAnsi="Arial" w:cs="Times New Roman"/>
          <w:sz w:val="18"/>
          <w:szCs w:val="24"/>
          <w:lang w:val="en-GB" w:eastAsia="de-DE"/>
        </w:rPr>
      </w:pPr>
      <w:r>
        <w:separator/>
      </w:r>
    </w:p>
  </w:footnote>
  <w:footnote w:type="continuationSeparator" w:id="1">
    <w:p w:rsidR="00314D32" w:rsidRPr="004F655C" w:rsidRDefault="00314D32" w:rsidP="00487E7E">
      <w:pPr>
        <w:rPr>
          <w:rFonts w:ascii="Arial" w:eastAsia="Times New Roman" w:hAnsi="Arial" w:cs="Times New Roman"/>
          <w:sz w:val="18"/>
          <w:szCs w:val="24"/>
          <w:lang w:val="en-GB" w:eastAsia="de-DE"/>
        </w:rPr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7E7E" w:rsidRDefault="00487E7E">
    <w:pPr>
      <w:pStyle w:val="Zhlav"/>
      <w:pBdr>
        <w:bottom w:val="single" w:sz="4" w:space="1" w:color="A5A5A5" w:themeColor="background1" w:themeShade="A5"/>
      </w:pBdr>
      <w:tabs>
        <w:tab w:val="left" w:pos="2580"/>
        <w:tab w:val="left" w:pos="2985"/>
      </w:tabs>
      <w:spacing w:after="120" w:line="276" w:lineRule="auto"/>
      <w:rPr>
        <w:color w:val="808080" w:themeColor="text1" w:themeTint="7F"/>
      </w:rPr>
    </w:pPr>
  </w:p>
  <w:p w:rsidR="00487E7E" w:rsidRDefault="00487E7E">
    <w:pPr>
      <w:pStyle w:val="Zhlav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alias w:val="Autor"/>
      <w:id w:val="77887908"/>
      <w:placeholder>
        <w:docPart w:val="B927B925764548C7901A446967353352"/>
      </w:placeholder>
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<w:text/>
    </w:sdtPr>
    <w:sdtContent>
      <w:p w:rsidR="00487E7E" w:rsidRDefault="00487E7E">
        <w:pPr>
          <w:pStyle w:val="Zhlav"/>
          <w:pBdr>
            <w:bottom w:val="single" w:sz="4" w:space="1" w:color="A5A5A5" w:themeColor="background1" w:themeShade="A5"/>
          </w:pBdr>
          <w:tabs>
            <w:tab w:val="left" w:pos="2580"/>
            <w:tab w:val="left" w:pos="2985"/>
          </w:tabs>
          <w:spacing w:after="120" w:line="276" w:lineRule="auto"/>
          <w:jc w:val="right"/>
          <w:rPr>
            <w:color w:val="808080" w:themeColor="text1" w:themeTint="7F"/>
          </w:rPr>
        </w:pPr>
        <w:r w:rsidRPr="00487E7E">
          <w:t>Návrh Dunajského nadnárodného programu 2014-2020</w:t>
        </w:r>
      </w:p>
    </w:sdtContent>
  </w:sdt>
  <w:p w:rsidR="00487E7E" w:rsidRDefault="00487E7E">
    <w:pPr>
      <w:pStyle w:val="Zhlav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0547BD"/>
    <w:multiLevelType w:val="hybridMultilevel"/>
    <w:tmpl w:val="CF0EEB28"/>
    <w:lvl w:ilvl="0" w:tplc="1CB6F93C">
      <w:start w:val="1"/>
      <w:numFmt w:val="decimal"/>
      <w:pStyle w:val="mberschriftfigures"/>
      <w:suff w:val="space"/>
      <w:lvlText w:val="Figure %1."/>
      <w:lvlJc w:val="left"/>
      <w:pPr>
        <w:ind w:left="0" w:firstLine="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BC6932"/>
    <w:multiLevelType w:val="hybridMultilevel"/>
    <w:tmpl w:val="2530E75E"/>
    <w:lvl w:ilvl="0" w:tplc="9C087752">
      <w:start w:val="1"/>
      <w:numFmt w:val="bullet"/>
      <w:pStyle w:val="maufzhlung"/>
      <w:lvlText w:val=""/>
      <w:lvlJc w:val="left"/>
      <w:pPr>
        <w:tabs>
          <w:tab w:val="num" w:pos="4754"/>
        </w:tabs>
        <w:ind w:left="4677" w:hanging="283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872"/>
        </w:tabs>
        <w:ind w:left="872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1592"/>
        </w:tabs>
        <w:ind w:left="159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312"/>
        </w:tabs>
        <w:ind w:left="231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032"/>
        </w:tabs>
        <w:ind w:left="3032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3752"/>
        </w:tabs>
        <w:ind w:left="375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4472"/>
        </w:tabs>
        <w:ind w:left="447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192"/>
        </w:tabs>
        <w:ind w:left="5192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5912"/>
        </w:tabs>
        <w:ind w:left="5912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12290"/>
  </w:hdrShapeDefaults>
  <w:footnotePr>
    <w:footnote w:id="0"/>
    <w:footnote w:id="1"/>
  </w:footnotePr>
  <w:endnotePr>
    <w:endnote w:id="0"/>
    <w:endnote w:id="1"/>
  </w:endnotePr>
  <w:compat/>
  <w:rsids>
    <w:rsidRoot w:val="00953C6D"/>
    <w:rsid w:val="000038BA"/>
    <w:rsid w:val="00017FF7"/>
    <w:rsid w:val="000250A3"/>
    <w:rsid w:val="000310ED"/>
    <w:rsid w:val="00034402"/>
    <w:rsid w:val="00040C4C"/>
    <w:rsid w:val="00041ED0"/>
    <w:rsid w:val="00051845"/>
    <w:rsid w:val="00053A8C"/>
    <w:rsid w:val="00053FE4"/>
    <w:rsid w:val="00055099"/>
    <w:rsid w:val="00066BE3"/>
    <w:rsid w:val="00071BAE"/>
    <w:rsid w:val="00071BF2"/>
    <w:rsid w:val="00071EBD"/>
    <w:rsid w:val="0007310D"/>
    <w:rsid w:val="00074A99"/>
    <w:rsid w:val="0007744E"/>
    <w:rsid w:val="00084DE5"/>
    <w:rsid w:val="000A61E5"/>
    <w:rsid w:val="000B2543"/>
    <w:rsid w:val="000D24DC"/>
    <w:rsid w:val="000E649F"/>
    <w:rsid w:val="000E6FD8"/>
    <w:rsid w:val="000F0964"/>
    <w:rsid w:val="0010391C"/>
    <w:rsid w:val="0010526C"/>
    <w:rsid w:val="00105FAF"/>
    <w:rsid w:val="0010784B"/>
    <w:rsid w:val="00110426"/>
    <w:rsid w:val="001123D1"/>
    <w:rsid w:val="001176CC"/>
    <w:rsid w:val="0012236B"/>
    <w:rsid w:val="00127781"/>
    <w:rsid w:val="00130818"/>
    <w:rsid w:val="001367F6"/>
    <w:rsid w:val="00141905"/>
    <w:rsid w:val="00147BC6"/>
    <w:rsid w:val="00164E1B"/>
    <w:rsid w:val="0016510B"/>
    <w:rsid w:val="00165CEA"/>
    <w:rsid w:val="00182B4E"/>
    <w:rsid w:val="00182D43"/>
    <w:rsid w:val="0019127A"/>
    <w:rsid w:val="00193D07"/>
    <w:rsid w:val="00197D01"/>
    <w:rsid w:val="001A23F8"/>
    <w:rsid w:val="001A3F36"/>
    <w:rsid w:val="001A5720"/>
    <w:rsid w:val="001B2C74"/>
    <w:rsid w:val="001C1992"/>
    <w:rsid w:val="001C2412"/>
    <w:rsid w:val="001C5021"/>
    <w:rsid w:val="001C529B"/>
    <w:rsid w:val="001D1CC9"/>
    <w:rsid w:val="001D5159"/>
    <w:rsid w:val="001D74C9"/>
    <w:rsid w:val="001F202B"/>
    <w:rsid w:val="001F5BF8"/>
    <w:rsid w:val="001F78C1"/>
    <w:rsid w:val="00207FCA"/>
    <w:rsid w:val="0021000D"/>
    <w:rsid w:val="00210E47"/>
    <w:rsid w:val="0021110C"/>
    <w:rsid w:val="00212389"/>
    <w:rsid w:val="0021295D"/>
    <w:rsid w:val="00216D21"/>
    <w:rsid w:val="00223058"/>
    <w:rsid w:val="00226DAA"/>
    <w:rsid w:val="00232A94"/>
    <w:rsid w:val="00232FB2"/>
    <w:rsid w:val="00234EC9"/>
    <w:rsid w:val="002363E4"/>
    <w:rsid w:val="002369F0"/>
    <w:rsid w:val="0023758A"/>
    <w:rsid w:val="00237BA8"/>
    <w:rsid w:val="00242CDD"/>
    <w:rsid w:val="00243C33"/>
    <w:rsid w:val="002469FC"/>
    <w:rsid w:val="00250D2E"/>
    <w:rsid w:val="00250EA2"/>
    <w:rsid w:val="0025117E"/>
    <w:rsid w:val="002554BB"/>
    <w:rsid w:val="00262FB4"/>
    <w:rsid w:val="002675DB"/>
    <w:rsid w:val="002822B8"/>
    <w:rsid w:val="002863C3"/>
    <w:rsid w:val="00292122"/>
    <w:rsid w:val="002921C9"/>
    <w:rsid w:val="002A112C"/>
    <w:rsid w:val="002A3CE0"/>
    <w:rsid w:val="002A4D04"/>
    <w:rsid w:val="002B3F94"/>
    <w:rsid w:val="002C08AD"/>
    <w:rsid w:val="002C4415"/>
    <w:rsid w:val="002D53E0"/>
    <w:rsid w:val="002E4069"/>
    <w:rsid w:val="002E5DF3"/>
    <w:rsid w:val="002E6E8F"/>
    <w:rsid w:val="002F0B25"/>
    <w:rsid w:val="002F0E0B"/>
    <w:rsid w:val="002F1194"/>
    <w:rsid w:val="002F5C31"/>
    <w:rsid w:val="002F6C90"/>
    <w:rsid w:val="003116F0"/>
    <w:rsid w:val="003142C3"/>
    <w:rsid w:val="00314D32"/>
    <w:rsid w:val="003168F6"/>
    <w:rsid w:val="0032528A"/>
    <w:rsid w:val="00327C58"/>
    <w:rsid w:val="00327E61"/>
    <w:rsid w:val="00342A14"/>
    <w:rsid w:val="00353664"/>
    <w:rsid w:val="003562D1"/>
    <w:rsid w:val="003563C6"/>
    <w:rsid w:val="00360546"/>
    <w:rsid w:val="00366DAA"/>
    <w:rsid w:val="003672F5"/>
    <w:rsid w:val="003716E7"/>
    <w:rsid w:val="003823F5"/>
    <w:rsid w:val="00393EB2"/>
    <w:rsid w:val="003B3AB2"/>
    <w:rsid w:val="003B4448"/>
    <w:rsid w:val="003C0B77"/>
    <w:rsid w:val="003C5F1A"/>
    <w:rsid w:val="003D0834"/>
    <w:rsid w:val="003D54C0"/>
    <w:rsid w:val="003E5E17"/>
    <w:rsid w:val="003E7385"/>
    <w:rsid w:val="003F52A7"/>
    <w:rsid w:val="00400890"/>
    <w:rsid w:val="00402E47"/>
    <w:rsid w:val="0040616E"/>
    <w:rsid w:val="00410BD3"/>
    <w:rsid w:val="00413C76"/>
    <w:rsid w:val="00425DBC"/>
    <w:rsid w:val="004265AD"/>
    <w:rsid w:val="004278FA"/>
    <w:rsid w:val="00430756"/>
    <w:rsid w:val="00437D76"/>
    <w:rsid w:val="00440DB5"/>
    <w:rsid w:val="0044108F"/>
    <w:rsid w:val="00451E20"/>
    <w:rsid w:val="00453D80"/>
    <w:rsid w:val="0045424D"/>
    <w:rsid w:val="004632F2"/>
    <w:rsid w:val="00466C19"/>
    <w:rsid w:val="00467D78"/>
    <w:rsid w:val="00470D10"/>
    <w:rsid w:val="00474231"/>
    <w:rsid w:val="004868E1"/>
    <w:rsid w:val="00487E7E"/>
    <w:rsid w:val="004A67E5"/>
    <w:rsid w:val="004B189A"/>
    <w:rsid w:val="004B2785"/>
    <w:rsid w:val="004B5FD1"/>
    <w:rsid w:val="004B7DD0"/>
    <w:rsid w:val="004C5D9B"/>
    <w:rsid w:val="004D4DD1"/>
    <w:rsid w:val="004E4FF0"/>
    <w:rsid w:val="004F00D6"/>
    <w:rsid w:val="005147A6"/>
    <w:rsid w:val="005205A7"/>
    <w:rsid w:val="00522749"/>
    <w:rsid w:val="00534001"/>
    <w:rsid w:val="00543C7F"/>
    <w:rsid w:val="00546F07"/>
    <w:rsid w:val="00571E40"/>
    <w:rsid w:val="005738F6"/>
    <w:rsid w:val="00580D93"/>
    <w:rsid w:val="0058444D"/>
    <w:rsid w:val="00587751"/>
    <w:rsid w:val="00594DDA"/>
    <w:rsid w:val="00596D3B"/>
    <w:rsid w:val="005A0D17"/>
    <w:rsid w:val="005A3858"/>
    <w:rsid w:val="005A5807"/>
    <w:rsid w:val="005A5E9B"/>
    <w:rsid w:val="005C3714"/>
    <w:rsid w:val="005C71E0"/>
    <w:rsid w:val="005D0D59"/>
    <w:rsid w:val="005D7C64"/>
    <w:rsid w:val="005E003B"/>
    <w:rsid w:val="005E063A"/>
    <w:rsid w:val="005E256F"/>
    <w:rsid w:val="005E3671"/>
    <w:rsid w:val="005E65C5"/>
    <w:rsid w:val="005E746D"/>
    <w:rsid w:val="005F1ABA"/>
    <w:rsid w:val="00606FAE"/>
    <w:rsid w:val="00612F56"/>
    <w:rsid w:val="006225FE"/>
    <w:rsid w:val="0062460D"/>
    <w:rsid w:val="0062725A"/>
    <w:rsid w:val="006404AA"/>
    <w:rsid w:val="00642E84"/>
    <w:rsid w:val="00645AA7"/>
    <w:rsid w:val="00653DA8"/>
    <w:rsid w:val="0065472D"/>
    <w:rsid w:val="0065655A"/>
    <w:rsid w:val="006666D1"/>
    <w:rsid w:val="00667D39"/>
    <w:rsid w:val="00675913"/>
    <w:rsid w:val="00683754"/>
    <w:rsid w:val="0068703A"/>
    <w:rsid w:val="006911AD"/>
    <w:rsid w:val="006912A5"/>
    <w:rsid w:val="006923A3"/>
    <w:rsid w:val="0069323C"/>
    <w:rsid w:val="00694A17"/>
    <w:rsid w:val="006A16D5"/>
    <w:rsid w:val="006A2FAE"/>
    <w:rsid w:val="006A4864"/>
    <w:rsid w:val="006A5738"/>
    <w:rsid w:val="006C3E22"/>
    <w:rsid w:val="006C634B"/>
    <w:rsid w:val="006D1716"/>
    <w:rsid w:val="006D2707"/>
    <w:rsid w:val="006D50CB"/>
    <w:rsid w:val="006D7CFF"/>
    <w:rsid w:val="006E29F7"/>
    <w:rsid w:val="006E35A1"/>
    <w:rsid w:val="006E54F0"/>
    <w:rsid w:val="006F6A05"/>
    <w:rsid w:val="006F7033"/>
    <w:rsid w:val="00700D06"/>
    <w:rsid w:val="00703681"/>
    <w:rsid w:val="00710335"/>
    <w:rsid w:val="00711C6F"/>
    <w:rsid w:val="00720118"/>
    <w:rsid w:val="007309B0"/>
    <w:rsid w:val="00733D37"/>
    <w:rsid w:val="0073417D"/>
    <w:rsid w:val="007357B7"/>
    <w:rsid w:val="0074628A"/>
    <w:rsid w:val="0075736F"/>
    <w:rsid w:val="00776357"/>
    <w:rsid w:val="007771FD"/>
    <w:rsid w:val="007806B8"/>
    <w:rsid w:val="00783194"/>
    <w:rsid w:val="00793F6A"/>
    <w:rsid w:val="007A099A"/>
    <w:rsid w:val="007B1405"/>
    <w:rsid w:val="007B3D1D"/>
    <w:rsid w:val="007B4247"/>
    <w:rsid w:val="007C0877"/>
    <w:rsid w:val="007C5A87"/>
    <w:rsid w:val="007C7107"/>
    <w:rsid w:val="007C7841"/>
    <w:rsid w:val="007E1D37"/>
    <w:rsid w:val="007F0D79"/>
    <w:rsid w:val="007F1E5A"/>
    <w:rsid w:val="0080162B"/>
    <w:rsid w:val="008045E2"/>
    <w:rsid w:val="00810DDE"/>
    <w:rsid w:val="008143FD"/>
    <w:rsid w:val="00815653"/>
    <w:rsid w:val="008166C3"/>
    <w:rsid w:val="00822DC4"/>
    <w:rsid w:val="00822E7D"/>
    <w:rsid w:val="00823F83"/>
    <w:rsid w:val="0082421B"/>
    <w:rsid w:val="00827803"/>
    <w:rsid w:val="008328B2"/>
    <w:rsid w:val="008348A9"/>
    <w:rsid w:val="008369CB"/>
    <w:rsid w:val="00842646"/>
    <w:rsid w:val="00842FDC"/>
    <w:rsid w:val="008517D5"/>
    <w:rsid w:val="0087155A"/>
    <w:rsid w:val="00873DE0"/>
    <w:rsid w:val="0087480C"/>
    <w:rsid w:val="00877778"/>
    <w:rsid w:val="00893A26"/>
    <w:rsid w:val="008C7843"/>
    <w:rsid w:val="008D48BE"/>
    <w:rsid w:val="008D59A7"/>
    <w:rsid w:val="008D643F"/>
    <w:rsid w:val="008E2234"/>
    <w:rsid w:val="008E2DD8"/>
    <w:rsid w:val="008F1FA8"/>
    <w:rsid w:val="008F2D16"/>
    <w:rsid w:val="008F4BEA"/>
    <w:rsid w:val="009032D5"/>
    <w:rsid w:val="00903AF7"/>
    <w:rsid w:val="00904F1D"/>
    <w:rsid w:val="00905736"/>
    <w:rsid w:val="00915D35"/>
    <w:rsid w:val="00922FA2"/>
    <w:rsid w:val="00934AC6"/>
    <w:rsid w:val="00953C6D"/>
    <w:rsid w:val="009556AF"/>
    <w:rsid w:val="00957014"/>
    <w:rsid w:val="00961823"/>
    <w:rsid w:val="00962E66"/>
    <w:rsid w:val="00984ABA"/>
    <w:rsid w:val="00996E85"/>
    <w:rsid w:val="0099758E"/>
    <w:rsid w:val="009A47B2"/>
    <w:rsid w:val="009A4B07"/>
    <w:rsid w:val="009A6C53"/>
    <w:rsid w:val="009B415C"/>
    <w:rsid w:val="009B7AD6"/>
    <w:rsid w:val="009C47C7"/>
    <w:rsid w:val="009C5613"/>
    <w:rsid w:val="009D0F7A"/>
    <w:rsid w:val="009D251F"/>
    <w:rsid w:val="009D6456"/>
    <w:rsid w:val="009F1964"/>
    <w:rsid w:val="009F3D7E"/>
    <w:rsid w:val="009F7BE3"/>
    <w:rsid w:val="00A00156"/>
    <w:rsid w:val="00A024D2"/>
    <w:rsid w:val="00A031C1"/>
    <w:rsid w:val="00A12BCE"/>
    <w:rsid w:val="00A13487"/>
    <w:rsid w:val="00A24582"/>
    <w:rsid w:val="00A248FF"/>
    <w:rsid w:val="00A25026"/>
    <w:rsid w:val="00A35E29"/>
    <w:rsid w:val="00A3665F"/>
    <w:rsid w:val="00A3718D"/>
    <w:rsid w:val="00A504B2"/>
    <w:rsid w:val="00A56301"/>
    <w:rsid w:val="00A61910"/>
    <w:rsid w:val="00A661A4"/>
    <w:rsid w:val="00A71036"/>
    <w:rsid w:val="00A71097"/>
    <w:rsid w:val="00A7175B"/>
    <w:rsid w:val="00A724A4"/>
    <w:rsid w:val="00A728EF"/>
    <w:rsid w:val="00A836C1"/>
    <w:rsid w:val="00A904B2"/>
    <w:rsid w:val="00A9775A"/>
    <w:rsid w:val="00AA3583"/>
    <w:rsid w:val="00AB2898"/>
    <w:rsid w:val="00AB4989"/>
    <w:rsid w:val="00AC0763"/>
    <w:rsid w:val="00AC3D15"/>
    <w:rsid w:val="00AC588C"/>
    <w:rsid w:val="00AC6317"/>
    <w:rsid w:val="00AC6E12"/>
    <w:rsid w:val="00AD252C"/>
    <w:rsid w:val="00AD3954"/>
    <w:rsid w:val="00AE0ED3"/>
    <w:rsid w:val="00AE11C0"/>
    <w:rsid w:val="00AE1C41"/>
    <w:rsid w:val="00AE69C8"/>
    <w:rsid w:val="00AF4A50"/>
    <w:rsid w:val="00AF645D"/>
    <w:rsid w:val="00B05507"/>
    <w:rsid w:val="00B059BD"/>
    <w:rsid w:val="00B16719"/>
    <w:rsid w:val="00B2404C"/>
    <w:rsid w:val="00B24BFE"/>
    <w:rsid w:val="00B257EE"/>
    <w:rsid w:val="00B315AF"/>
    <w:rsid w:val="00B31740"/>
    <w:rsid w:val="00B33BD4"/>
    <w:rsid w:val="00B357A9"/>
    <w:rsid w:val="00B35AF3"/>
    <w:rsid w:val="00B60996"/>
    <w:rsid w:val="00B6784B"/>
    <w:rsid w:val="00B67953"/>
    <w:rsid w:val="00B81595"/>
    <w:rsid w:val="00B819AF"/>
    <w:rsid w:val="00B90A74"/>
    <w:rsid w:val="00B9533A"/>
    <w:rsid w:val="00BA5CFA"/>
    <w:rsid w:val="00BA61F4"/>
    <w:rsid w:val="00BA7448"/>
    <w:rsid w:val="00BC0644"/>
    <w:rsid w:val="00BC083D"/>
    <w:rsid w:val="00BC3F09"/>
    <w:rsid w:val="00BC4484"/>
    <w:rsid w:val="00BD0A57"/>
    <w:rsid w:val="00BD29F3"/>
    <w:rsid w:val="00BD7B14"/>
    <w:rsid w:val="00BE3226"/>
    <w:rsid w:val="00BF1D20"/>
    <w:rsid w:val="00BF292A"/>
    <w:rsid w:val="00BF3EF9"/>
    <w:rsid w:val="00BF5ABE"/>
    <w:rsid w:val="00C04C2C"/>
    <w:rsid w:val="00C07B7E"/>
    <w:rsid w:val="00C1077F"/>
    <w:rsid w:val="00C10AE2"/>
    <w:rsid w:val="00C16C38"/>
    <w:rsid w:val="00C2353C"/>
    <w:rsid w:val="00C25185"/>
    <w:rsid w:val="00C46858"/>
    <w:rsid w:val="00C5552D"/>
    <w:rsid w:val="00C61545"/>
    <w:rsid w:val="00C64C3D"/>
    <w:rsid w:val="00C74520"/>
    <w:rsid w:val="00C80BC8"/>
    <w:rsid w:val="00C83B53"/>
    <w:rsid w:val="00C85CA6"/>
    <w:rsid w:val="00C96970"/>
    <w:rsid w:val="00CA1BF6"/>
    <w:rsid w:val="00CA3C7D"/>
    <w:rsid w:val="00CD7011"/>
    <w:rsid w:val="00CE23F5"/>
    <w:rsid w:val="00CE24DF"/>
    <w:rsid w:val="00CE352B"/>
    <w:rsid w:val="00CE6411"/>
    <w:rsid w:val="00D007D7"/>
    <w:rsid w:val="00D04B47"/>
    <w:rsid w:val="00D05AF1"/>
    <w:rsid w:val="00D06458"/>
    <w:rsid w:val="00D07239"/>
    <w:rsid w:val="00D10583"/>
    <w:rsid w:val="00D2042F"/>
    <w:rsid w:val="00D2107F"/>
    <w:rsid w:val="00D2759C"/>
    <w:rsid w:val="00D27A0D"/>
    <w:rsid w:val="00D54569"/>
    <w:rsid w:val="00D566F2"/>
    <w:rsid w:val="00D6125F"/>
    <w:rsid w:val="00D751E7"/>
    <w:rsid w:val="00D81407"/>
    <w:rsid w:val="00D8159A"/>
    <w:rsid w:val="00D8643D"/>
    <w:rsid w:val="00D969C8"/>
    <w:rsid w:val="00D97C17"/>
    <w:rsid w:val="00D97E31"/>
    <w:rsid w:val="00DB0B0D"/>
    <w:rsid w:val="00DC0D6A"/>
    <w:rsid w:val="00DD075D"/>
    <w:rsid w:val="00DE7FA2"/>
    <w:rsid w:val="00DF173E"/>
    <w:rsid w:val="00DF36F1"/>
    <w:rsid w:val="00E02942"/>
    <w:rsid w:val="00E04138"/>
    <w:rsid w:val="00E0676D"/>
    <w:rsid w:val="00E16696"/>
    <w:rsid w:val="00E2174D"/>
    <w:rsid w:val="00E22D54"/>
    <w:rsid w:val="00E25084"/>
    <w:rsid w:val="00E26388"/>
    <w:rsid w:val="00E31DD2"/>
    <w:rsid w:val="00E342FC"/>
    <w:rsid w:val="00E343FB"/>
    <w:rsid w:val="00E3575B"/>
    <w:rsid w:val="00E375EB"/>
    <w:rsid w:val="00E37777"/>
    <w:rsid w:val="00E43A61"/>
    <w:rsid w:val="00E44DAE"/>
    <w:rsid w:val="00E549E7"/>
    <w:rsid w:val="00E62DF7"/>
    <w:rsid w:val="00E634CB"/>
    <w:rsid w:val="00E63B90"/>
    <w:rsid w:val="00E75EC4"/>
    <w:rsid w:val="00E8062C"/>
    <w:rsid w:val="00E82258"/>
    <w:rsid w:val="00E848DA"/>
    <w:rsid w:val="00E907B6"/>
    <w:rsid w:val="00E91920"/>
    <w:rsid w:val="00E94706"/>
    <w:rsid w:val="00E96115"/>
    <w:rsid w:val="00E96E85"/>
    <w:rsid w:val="00E9740B"/>
    <w:rsid w:val="00E977E6"/>
    <w:rsid w:val="00EA1692"/>
    <w:rsid w:val="00EA53E3"/>
    <w:rsid w:val="00EA7169"/>
    <w:rsid w:val="00EB4045"/>
    <w:rsid w:val="00EB73F3"/>
    <w:rsid w:val="00EC20D2"/>
    <w:rsid w:val="00EC327B"/>
    <w:rsid w:val="00EC58C9"/>
    <w:rsid w:val="00ED113F"/>
    <w:rsid w:val="00ED202D"/>
    <w:rsid w:val="00ED42D8"/>
    <w:rsid w:val="00ED7F69"/>
    <w:rsid w:val="00EE204A"/>
    <w:rsid w:val="00EE6339"/>
    <w:rsid w:val="00EF0686"/>
    <w:rsid w:val="00EF4119"/>
    <w:rsid w:val="00F01E1B"/>
    <w:rsid w:val="00F01F37"/>
    <w:rsid w:val="00F0547D"/>
    <w:rsid w:val="00F111CD"/>
    <w:rsid w:val="00F160CF"/>
    <w:rsid w:val="00F16EA8"/>
    <w:rsid w:val="00F17FBC"/>
    <w:rsid w:val="00F20EF3"/>
    <w:rsid w:val="00F23975"/>
    <w:rsid w:val="00F440F6"/>
    <w:rsid w:val="00F443C9"/>
    <w:rsid w:val="00F5392C"/>
    <w:rsid w:val="00F60C57"/>
    <w:rsid w:val="00F90988"/>
    <w:rsid w:val="00F95E38"/>
    <w:rsid w:val="00FA22D2"/>
    <w:rsid w:val="00FB3FC2"/>
    <w:rsid w:val="00FB472F"/>
    <w:rsid w:val="00FC0771"/>
    <w:rsid w:val="00FC0C9D"/>
    <w:rsid w:val="00FC1A73"/>
    <w:rsid w:val="00FC2BA2"/>
    <w:rsid w:val="00FC6AD3"/>
    <w:rsid w:val="00FD03A6"/>
    <w:rsid w:val="00FD1AC8"/>
    <w:rsid w:val="00FD39D9"/>
    <w:rsid w:val="00FD40DF"/>
    <w:rsid w:val="00FD6398"/>
    <w:rsid w:val="00FE3302"/>
    <w:rsid w:val="00FF5A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A4B07"/>
    <w:pPr>
      <w:spacing w:after="0" w:line="240" w:lineRule="auto"/>
    </w:pPr>
    <w:rPr>
      <w:rFonts w:eastAsiaTheme="minorEastAsia"/>
      <w:lang w:eastAsia="sk-SK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953C6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53C6D"/>
    <w:rPr>
      <w:rFonts w:ascii="Tahoma" w:eastAsiaTheme="minorEastAsia" w:hAnsi="Tahoma" w:cs="Tahoma"/>
      <w:sz w:val="16"/>
      <w:szCs w:val="16"/>
      <w:lang w:eastAsia="sk-SK"/>
    </w:rPr>
  </w:style>
  <w:style w:type="table" w:styleId="Mkatabulky">
    <w:name w:val="Table Grid"/>
    <w:basedOn w:val="Normlntabulka"/>
    <w:uiPriority w:val="59"/>
    <w:rsid w:val="00FC2BA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itel2">
    <w:name w:val="Titel2"/>
    <w:basedOn w:val="Normln"/>
    <w:rsid w:val="00FC2BA2"/>
    <w:pPr>
      <w:autoSpaceDE w:val="0"/>
      <w:autoSpaceDN w:val="0"/>
      <w:adjustRightInd w:val="0"/>
      <w:spacing w:before="60"/>
    </w:pPr>
    <w:rPr>
      <w:rFonts w:ascii="Arial" w:eastAsia="Times New Roman" w:hAnsi="Arial" w:cs="Times New Roman"/>
      <w:color w:val="FFFFFF"/>
      <w:sz w:val="52"/>
      <w:szCs w:val="52"/>
      <w:lang w:val="de-DE" w:eastAsia="de-DE"/>
    </w:rPr>
  </w:style>
  <w:style w:type="paragraph" w:customStyle="1" w:styleId="Titel1">
    <w:name w:val="Titel1"/>
    <w:basedOn w:val="Normln"/>
    <w:rsid w:val="00FC2BA2"/>
    <w:pPr>
      <w:autoSpaceDE w:val="0"/>
      <w:autoSpaceDN w:val="0"/>
      <w:adjustRightInd w:val="0"/>
      <w:jc w:val="both"/>
    </w:pPr>
    <w:rPr>
      <w:rFonts w:ascii="Arial" w:eastAsia="Times New Roman" w:hAnsi="Arial" w:cs="Times New Roman"/>
      <w:b/>
      <w:bCs/>
      <w:caps/>
      <w:color w:val="000000" w:themeColor="text1"/>
      <w:sz w:val="32"/>
      <w:szCs w:val="32"/>
      <w:lang w:val="de-DE" w:eastAsia="de-DE"/>
    </w:rPr>
  </w:style>
  <w:style w:type="paragraph" w:customStyle="1" w:styleId="mStandard">
    <w:name w:val="m_Standard"/>
    <w:link w:val="mStandardZchn"/>
    <w:qFormat/>
    <w:rsid w:val="00FC2BA2"/>
    <w:pPr>
      <w:spacing w:before="60" w:after="140" w:line="220" w:lineRule="atLeast"/>
      <w:jc w:val="both"/>
    </w:pPr>
    <w:rPr>
      <w:rFonts w:ascii="Arial" w:eastAsia="Times New Roman" w:hAnsi="Arial" w:cs="Times New Roman"/>
      <w:sz w:val="20"/>
      <w:szCs w:val="20"/>
      <w:lang w:val="de-AT" w:eastAsia="de-DE"/>
    </w:rPr>
  </w:style>
  <w:style w:type="character" w:customStyle="1" w:styleId="mStandardZchn">
    <w:name w:val="m_Standard Zchn"/>
    <w:link w:val="mStandard"/>
    <w:locked/>
    <w:rsid w:val="00FC2BA2"/>
    <w:rPr>
      <w:rFonts w:ascii="Arial" w:eastAsia="Times New Roman" w:hAnsi="Arial" w:cs="Times New Roman"/>
      <w:sz w:val="20"/>
      <w:szCs w:val="20"/>
      <w:lang w:val="de-AT" w:eastAsia="de-DE"/>
    </w:rPr>
  </w:style>
  <w:style w:type="paragraph" w:customStyle="1" w:styleId="mQuelle">
    <w:name w:val="m_Quelle"/>
    <w:next w:val="mStandard"/>
    <w:rsid w:val="00F95E38"/>
    <w:pPr>
      <w:suppressAutoHyphens/>
      <w:spacing w:before="60" w:after="140" w:line="240" w:lineRule="auto"/>
    </w:pPr>
    <w:rPr>
      <w:rFonts w:ascii="Arial" w:eastAsia="Times New Roman" w:hAnsi="Arial" w:cs="Times New Roman"/>
      <w:color w:val="808080"/>
      <w:sz w:val="16"/>
      <w:szCs w:val="20"/>
      <w:lang w:val="de-DE" w:eastAsia="de-DE"/>
    </w:rPr>
  </w:style>
  <w:style w:type="character" w:styleId="Hypertextovodkaz">
    <w:name w:val="Hyperlink"/>
    <w:basedOn w:val="Standardnpsmoodstavce"/>
    <w:uiPriority w:val="99"/>
    <w:rsid w:val="00F95E38"/>
    <w:rPr>
      <w:color w:val="0000FF"/>
      <w:u w:val="single"/>
    </w:rPr>
  </w:style>
  <w:style w:type="paragraph" w:customStyle="1" w:styleId="mberschriftfigures">
    <w:name w:val="m_Überschrift_figures"/>
    <w:basedOn w:val="Normln"/>
    <w:next w:val="mStandard"/>
    <w:qFormat/>
    <w:rsid w:val="00F95E38"/>
    <w:pPr>
      <w:numPr>
        <w:numId w:val="1"/>
      </w:numPr>
      <w:spacing w:before="200" w:after="140"/>
      <w:ind w:right="55"/>
    </w:pPr>
    <w:rPr>
      <w:rFonts w:ascii="Arial" w:eastAsia="Times New Roman" w:hAnsi="Arial" w:cs="Times New Roman"/>
      <w:b/>
      <w:color w:val="808080"/>
      <w:sz w:val="20"/>
      <w:szCs w:val="20"/>
      <w:lang w:val="de-DE" w:eastAsia="de-DE"/>
    </w:rPr>
  </w:style>
  <w:style w:type="paragraph" w:styleId="Bezmezer">
    <w:name w:val="No Spacing"/>
    <w:uiPriority w:val="1"/>
    <w:qFormat/>
    <w:rsid w:val="00F95E38"/>
    <w:pPr>
      <w:spacing w:after="0" w:line="240" w:lineRule="auto"/>
    </w:pPr>
    <w:rPr>
      <w:rFonts w:eastAsiaTheme="minorEastAsia"/>
      <w:lang w:eastAsia="sk-SK"/>
    </w:rPr>
  </w:style>
  <w:style w:type="paragraph" w:customStyle="1" w:styleId="maufzhlung">
    <w:name w:val="m_aufzählung"/>
    <w:rsid w:val="00F01E1B"/>
    <w:pPr>
      <w:numPr>
        <w:numId w:val="2"/>
      </w:numPr>
      <w:tabs>
        <w:tab w:val="left" w:pos="567"/>
      </w:tabs>
      <w:spacing w:before="60" w:after="0" w:line="220" w:lineRule="atLeast"/>
      <w:ind w:left="568" w:hanging="284"/>
      <w:jc w:val="both"/>
    </w:pPr>
    <w:rPr>
      <w:rFonts w:ascii="Arial" w:eastAsia="Times New Roman" w:hAnsi="Arial" w:cs="Times New Roman"/>
      <w:sz w:val="20"/>
      <w:szCs w:val="20"/>
      <w:lang w:val="de-AT" w:eastAsia="de-DE"/>
    </w:rPr>
  </w:style>
  <w:style w:type="paragraph" w:styleId="Zhlav">
    <w:name w:val="header"/>
    <w:basedOn w:val="Normln"/>
    <w:link w:val="ZhlavChar"/>
    <w:uiPriority w:val="99"/>
    <w:unhideWhenUsed/>
    <w:rsid w:val="00487E7E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487E7E"/>
    <w:rPr>
      <w:rFonts w:eastAsiaTheme="minorEastAsia"/>
      <w:lang w:eastAsia="sk-SK"/>
    </w:rPr>
  </w:style>
  <w:style w:type="paragraph" w:styleId="Zpat">
    <w:name w:val="footer"/>
    <w:basedOn w:val="Normln"/>
    <w:link w:val="ZpatChar"/>
    <w:uiPriority w:val="99"/>
    <w:unhideWhenUsed/>
    <w:rsid w:val="00487E7E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487E7E"/>
    <w:rPr>
      <w:rFonts w:eastAsiaTheme="minorEastAsia"/>
      <w:lang w:eastAsia="sk-SK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s://encrypted-tbn2.gstatic.com/images?q=tbn:ANd9GcSsTguB0xdWQfc4dCkIhxz0eH9kqt0rOYTIVzS8ettA8QafgB09" TargetMode="External"/><Relationship Id="rId13" Type="http://schemas.openxmlformats.org/officeDocument/2006/relationships/image" Target="media/image5.emf"/><Relationship Id="rId18" Type="http://schemas.openxmlformats.org/officeDocument/2006/relationships/image" Target="media/image9.png"/><Relationship Id="rId26" Type="http://schemas.openxmlformats.org/officeDocument/2006/relationships/chart" Target="charts/chart2.xml"/><Relationship Id="rId3" Type="http://schemas.openxmlformats.org/officeDocument/2006/relationships/settings" Target="settings.xml"/><Relationship Id="rId21" Type="http://schemas.openxmlformats.org/officeDocument/2006/relationships/image" Target="media/image12.emf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hyperlink" Target="http://www.southeast-europe.net/en/about_see/danubeprogramme/index" TargetMode="External"/><Relationship Id="rId17" Type="http://schemas.openxmlformats.org/officeDocument/2006/relationships/image" Target="media/image8.jpeg"/><Relationship Id="rId25" Type="http://schemas.openxmlformats.org/officeDocument/2006/relationships/chart" Target="charts/chart1.xml"/><Relationship Id="rId33" Type="http://schemas.openxmlformats.org/officeDocument/2006/relationships/glossaryDocument" Target="glossary/document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29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5.emf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6.emf"/><Relationship Id="rId23" Type="http://schemas.openxmlformats.org/officeDocument/2006/relationships/image" Target="media/image14.emf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0.png"/><Relationship Id="rId3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yperlink" Target="http://www.southeast-europe.net/en/about_see/danubeprogramme/index" TargetMode="External"/><Relationship Id="rId22" Type="http://schemas.openxmlformats.org/officeDocument/2006/relationships/image" Target="media/image13.emf"/><Relationship Id="rId27" Type="http://schemas.openxmlformats.org/officeDocument/2006/relationships/chart" Target="charts/chart3.xml"/><Relationship Id="rId30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List_aplikace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F:\Online_survey_data_resch_140617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List_aplikace_Microsoft_Office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sk-S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GB"/>
              <a:t>Number of comments received</a:t>
            </a:r>
            <a:endParaRPr lang="hu-HU"/>
          </a:p>
        </c:rich>
      </c:tx>
      <c:spPr>
        <a:noFill/>
        <a:ln>
          <a:noFill/>
        </a:ln>
        <a:effectLst/>
      </c:spPr>
    </c:title>
    <c:plotArea>
      <c:layout/>
      <c:barChart>
        <c:barDir val="col"/>
        <c:grouping val="clustered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cat>
            <c:strRef>
              <c:f>Sheet1!$B$3:$B$7</c:f>
              <c:strCache>
                <c:ptCount val="5"/>
                <c:pt idx="0">
                  <c:v>General content</c:v>
                </c:pt>
                <c:pt idx="1">
                  <c:v>Priority Axis 1</c:v>
                </c:pt>
                <c:pt idx="2">
                  <c:v>Priority Axis 2</c:v>
                </c:pt>
                <c:pt idx="3">
                  <c:v>Priority Axis 3</c:v>
                </c:pt>
                <c:pt idx="4">
                  <c:v>Priority Axis 4</c:v>
                </c:pt>
              </c:strCache>
            </c:strRef>
          </c:cat>
          <c:val>
            <c:numRef>
              <c:f>Sheet1!$C$3:$C$7</c:f>
              <c:numCache>
                <c:formatCode>General</c:formatCode>
                <c:ptCount val="5"/>
                <c:pt idx="0">
                  <c:v>49</c:v>
                </c:pt>
                <c:pt idx="1">
                  <c:v>63</c:v>
                </c:pt>
                <c:pt idx="2">
                  <c:v>72</c:v>
                </c:pt>
                <c:pt idx="3">
                  <c:v>61</c:v>
                </c:pt>
                <c:pt idx="4">
                  <c:v>44</c:v>
                </c:pt>
              </c:numCache>
            </c:numRef>
          </c:val>
        </c:ser>
        <c:gapWidth val="219"/>
        <c:overlap val="-27"/>
        <c:axId val="249438592"/>
        <c:axId val="249451264"/>
      </c:barChart>
      <c:catAx>
        <c:axId val="249438592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k-SK"/>
          </a:p>
        </c:txPr>
        <c:crossAx val="249451264"/>
        <c:crosses val="autoZero"/>
        <c:auto val="1"/>
        <c:lblAlgn val="ctr"/>
        <c:lblOffset val="100"/>
      </c:catAx>
      <c:valAx>
        <c:axId val="249451264"/>
        <c:scaling>
          <c:orientation val="minMax"/>
        </c:scaling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k-SK"/>
          </a:p>
        </c:txPr>
        <c:crossAx val="24943859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sk-SK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sk-SK"/>
  <c:chart>
    <c:title>
      <c:tx>
        <c:rich>
          <a:bodyPr/>
          <a:lstStyle/>
          <a:p>
            <a:pPr>
              <a:defRPr lang="en-US"/>
            </a:pPr>
            <a:r>
              <a:rPr lang="en-US"/>
              <a:t>Respondents per country</a:t>
            </a:r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v>Respondents</c:v>
          </c:tx>
          <c:cat>
            <c:strRef>
              <c:f>Online_survey_data_resch_140617!$C$261:$C$274</c:f>
              <c:strCache>
                <c:ptCount val="14"/>
                <c:pt idx="0">
                  <c:v>AT</c:v>
                </c:pt>
                <c:pt idx="1">
                  <c:v>BIH</c:v>
                </c:pt>
                <c:pt idx="2">
                  <c:v>BG</c:v>
                </c:pt>
                <c:pt idx="3">
                  <c:v>HR</c:v>
                </c:pt>
                <c:pt idx="4">
                  <c:v>CZ</c:v>
                </c:pt>
                <c:pt idx="5">
                  <c:v>DE</c:v>
                </c:pt>
                <c:pt idx="6">
                  <c:v>HU</c:v>
                </c:pt>
                <c:pt idx="7">
                  <c:v>MOL</c:v>
                </c:pt>
                <c:pt idx="8">
                  <c:v>MNG</c:v>
                </c:pt>
                <c:pt idx="9">
                  <c:v>RO</c:v>
                </c:pt>
                <c:pt idx="10">
                  <c:v>SVK</c:v>
                </c:pt>
                <c:pt idx="11">
                  <c:v>SLO</c:v>
                </c:pt>
                <c:pt idx="12">
                  <c:v>SRB</c:v>
                </c:pt>
                <c:pt idx="13">
                  <c:v>UKR</c:v>
                </c:pt>
              </c:strCache>
            </c:strRef>
          </c:cat>
          <c:val>
            <c:numRef>
              <c:f>Online_survey_data_resch_140617!$D$261:$D$274</c:f>
              <c:numCache>
                <c:formatCode>General</c:formatCode>
                <c:ptCount val="14"/>
                <c:pt idx="0">
                  <c:v>41</c:v>
                </c:pt>
                <c:pt idx="1">
                  <c:v>5</c:v>
                </c:pt>
                <c:pt idx="2">
                  <c:v>16</c:v>
                </c:pt>
                <c:pt idx="3">
                  <c:v>13</c:v>
                </c:pt>
                <c:pt idx="4">
                  <c:v>13</c:v>
                </c:pt>
                <c:pt idx="5">
                  <c:v>23</c:v>
                </c:pt>
                <c:pt idx="6">
                  <c:v>29</c:v>
                </c:pt>
                <c:pt idx="7">
                  <c:v>0</c:v>
                </c:pt>
                <c:pt idx="8">
                  <c:v>13</c:v>
                </c:pt>
                <c:pt idx="9">
                  <c:v>24</c:v>
                </c:pt>
                <c:pt idx="10">
                  <c:v>7</c:v>
                </c:pt>
                <c:pt idx="11">
                  <c:v>14</c:v>
                </c:pt>
                <c:pt idx="12">
                  <c:v>31</c:v>
                </c:pt>
                <c:pt idx="13">
                  <c:v>8</c:v>
                </c:pt>
              </c:numCache>
            </c:numRef>
          </c:val>
        </c:ser>
        <c:axId val="69903104"/>
        <c:axId val="69904640"/>
      </c:barChart>
      <c:catAx>
        <c:axId val="69903104"/>
        <c:scaling>
          <c:orientation val="minMax"/>
        </c:scaling>
        <c:axPos val="b"/>
        <c:numFmt formatCode="General" sourceLinked="0"/>
        <c:tickLblPos val="nextTo"/>
        <c:txPr>
          <a:bodyPr/>
          <a:lstStyle/>
          <a:p>
            <a:pPr>
              <a:defRPr lang="en-US"/>
            </a:pPr>
            <a:endParaRPr lang="sk-SK"/>
          </a:p>
        </c:txPr>
        <c:crossAx val="69904640"/>
        <c:crosses val="autoZero"/>
        <c:auto val="1"/>
        <c:lblAlgn val="ctr"/>
        <c:lblOffset val="100"/>
      </c:catAx>
      <c:valAx>
        <c:axId val="69904640"/>
        <c:scaling>
          <c:orientation val="minMax"/>
        </c:scaling>
        <c:axPos val="l"/>
        <c:majorGridlines/>
        <c:numFmt formatCode="General" sourceLinked="1"/>
        <c:tickLblPos val="nextTo"/>
        <c:txPr>
          <a:bodyPr/>
          <a:lstStyle/>
          <a:p>
            <a:pPr>
              <a:defRPr lang="en-US"/>
            </a:pPr>
            <a:endParaRPr lang="sk-SK"/>
          </a:p>
        </c:txPr>
        <c:crossAx val="69903104"/>
        <c:crosses val="autoZero"/>
        <c:crossBetween val="between"/>
      </c:valAx>
    </c:plotArea>
    <c:plotVisOnly val="1"/>
    <c:dispBlanksAs val="gap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sk-SK"/>
  <c:style val="18"/>
  <c:chart>
    <c:title>
      <c:tx>
        <c:rich>
          <a:bodyPr/>
          <a:lstStyle/>
          <a:p>
            <a:pPr>
              <a:defRPr lang="en-US"/>
            </a:pPr>
            <a:r>
              <a:rPr lang="en-US"/>
              <a:t>Field of competence</a:t>
            </a:r>
          </a:p>
        </c:rich>
      </c:tx>
      <c:layout>
        <c:manualLayout>
          <c:xMode val="edge"/>
          <c:yMode val="edge"/>
          <c:x val="0.2780833333333334"/>
          <c:y val="5.5555555555555455E-2"/>
        </c:manualLayout>
      </c:layout>
    </c:title>
    <c:plotArea>
      <c:layout/>
      <c:barChart>
        <c:barDir val="col"/>
        <c:grouping val="clustered"/>
        <c:ser>
          <c:idx val="0"/>
          <c:order val="0"/>
          <c:tx>
            <c:strRef>
              <c:f>General!$H$21:$H$25</c:f>
              <c:strCache>
                <c:ptCount val="1"/>
                <c:pt idx="0">
                  <c:v>117 100 63 75 86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US"/>
                </a:pPr>
                <a:endParaRPr lang="sk-SK"/>
              </a:p>
            </c:txPr>
            <c:dLblPos val="inEnd"/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General!$E$21:$E$25</c:f>
              <c:strCache>
                <c:ptCount val="5"/>
                <c:pt idx="0">
                  <c:v>Research and innovation</c:v>
                </c:pt>
                <c:pt idx="1">
                  <c:v>Environment and resource efficiency</c:v>
                </c:pt>
                <c:pt idx="2">
                  <c:v>Transport</c:v>
                </c:pt>
                <c:pt idx="3">
                  <c:v>Governance</c:v>
                </c:pt>
                <c:pt idx="4">
                  <c:v>Other</c:v>
                </c:pt>
              </c:strCache>
            </c:strRef>
          </c:cat>
          <c:val>
            <c:numRef>
              <c:f>General!$H$21:$H$25</c:f>
              <c:numCache>
                <c:formatCode>General</c:formatCode>
                <c:ptCount val="5"/>
                <c:pt idx="0">
                  <c:v>117</c:v>
                </c:pt>
                <c:pt idx="1">
                  <c:v>100</c:v>
                </c:pt>
                <c:pt idx="2">
                  <c:v>63</c:v>
                </c:pt>
                <c:pt idx="3">
                  <c:v>75</c:v>
                </c:pt>
                <c:pt idx="4">
                  <c:v>86</c:v>
                </c:pt>
              </c:numCache>
            </c:numRef>
          </c:val>
        </c:ser>
        <c:gapWidth val="100"/>
        <c:axId val="61130624"/>
        <c:axId val="61132160"/>
      </c:barChart>
      <c:catAx>
        <c:axId val="61130624"/>
        <c:scaling>
          <c:orientation val="minMax"/>
        </c:scaling>
        <c:axPos val="b"/>
        <c:numFmt formatCode="General" sourceLinked="0"/>
        <c:tickLblPos val="nextTo"/>
        <c:txPr>
          <a:bodyPr/>
          <a:lstStyle/>
          <a:p>
            <a:pPr>
              <a:defRPr lang="en-US"/>
            </a:pPr>
            <a:endParaRPr lang="sk-SK"/>
          </a:p>
        </c:txPr>
        <c:crossAx val="61132160"/>
        <c:crosses val="autoZero"/>
        <c:auto val="1"/>
        <c:lblAlgn val="ctr"/>
        <c:lblOffset val="100"/>
      </c:catAx>
      <c:valAx>
        <c:axId val="61132160"/>
        <c:scaling>
          <c:orientation val="minMax"/>
        </c:scaling>
        <c:axPos val="l"/>
        <c:majorGridlines/>
        <c:numFmt formatCode="General" sourceLinked="1"/>
        <c:tickLblPos val="nextTo"/>
        <c:txPr>
          <a:bodyPr/>
          <a:lstStyle/>
          <a:p>
            <a:pPr>
              <a:defRPr lang="en-US"/>
            </a:pPr>
            <a:endParaRPr lang="sk-SK"/>
          </a:p>
        </c:txPr>
        <c:crossAx val="61130624"/>
        <c:crosses val="autoZero"/>
        <c:crossBetween val="between"/>
      </c:valAx>
    </c:plotArea>
    <c:plotVisOnly val="1"/>
    <c:dispBlanksAs val="gap"/>
  </c:chart>
  <c:externalData r:id="rId1"/>
</c:chartSpace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B927B925764548C7901A446967353352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F7DDBFA9-8165-45A1-B642-59B8175A215F}"/>
      </w:docPartPr>
      <w:docPartBody>
        <w:p w:rsidR="00214DB8" w:rsidRDefault="0051012A" w:rsidP="0051012A">
          <w:pPr>
            <w:pStyle w:val="B927B925764548C7901A446967353352"/>
          </w:pPr>
          <w:r>
            <w:rPr>
              <w:color w:val="808080" w:themeColor="text1" w:themeTint="7F"/>
              <w:lang w:val="cs-CZ"/>
            </w:rPr>
            <w:t>[Zadejte jméno autora.]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hyphenationZone w:val="425"/>
  <w:characterSpacingControl w:val="doNotCompress"/>
  <w:compat>
    <w:useFELayout/>
  </w:compat>
  <w:rsids>
    <w:rsidRoot w:val="0051012A"/>
    <w:rsid w:val="00214DB8"/>
    <w:rsid w:val="00332C48"/>
    <w:rsid w:val="003F2B52"/>
    <w:rsid w:val="0051012A"/>
    <w:rsid w:val="00D029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214DB8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8CDAC947B350413789344295748794FA">
    <w:name w:val="8CDAC947B350413789344295748794FA"/>
    <w:rsid w:val="0051012A"/>
  </w:style>
  <w:style w:type="paragraph" w:customStyle="1" w:styleId="1FBED8A281944FC9A53450A2C34EEBF8">
    <w:name w:val="1FBED8A281944FC9A53450A2C34EEBF8"/>
    <w:rsid w:val="0051012A"/>
  </w:style>
  <w:style w:type="paragraph" w:customStyle="1" w:styleId="B927B925764548C7901A446967353352">
    <w:name w:val="B927B925764548C7901A446967353352"/>
    <w:rsid w:val="0051012A"/>
  </w:style>
  <w:style w:type="paragraph" w:customStyle="1" w:styleId="665D1465E5C542F1AD6CE56B089CACC2">
    <w:name w:val="665D1465E5C542F1AD6CE56B089CACC2"/>
    <w:rsid w:val="0051012A"/>
  </w:style>
  <w:style w:type="paragraph" w:customStyle="1" w:styleId="EBD2F0C37C674619B1CBF650F30992BA">
    <w:name w:val="EBD2F0C37C674619B1CBF650F30992BA"/>
    <w:rsid w:val="0051012A"/>
  </w:style>
  <w:style w:type="paragraph" w:customStyle="1" w:styleId="42050FA5C75C4DAAB21BF9A3DC38667A">
    <w:name w:val="42050FA5C75C4DAAB21BF9A3DC38667A"/>
    <w:rsid w:val="0051012A"/>
  </w:style>
  <w:style w:type="paragraph" w:customStyle="1" w:styleId="3E328491DD7C4B12B36061A65F431798">
    <w:name w:val="3E328491DD7C4B12B36061A65F431798"/>
    <w:rsid w:val="0051012A"/>
  </w:style>
  <w:style w:type="paragraph" w:customStyle="1" w:styleId="8E9E6E795B894E13B69823BCB966D582">
    <w:name w:val="8E9E6E795B894E13B69823BCB966D582"/>
    <w:rsid w:val="0051012A"/>
  </w:style>
  <w:style w:type="paragraph" w:customStyle="1" w:styleId="55B05F143C6143DCA80BD930637DFDBF">
    <w:name w:val="55B05F143C6143DCA80BD930637DFDBF"/>
    <w:rsid w:val="0051012A"/>
  </w:style>
  <w:style w:type="paragraph" w:customStyle="1" w:styleId="851D85690AD0403497BBCDF6F6C99FAB">
    <w:name w:val="851D85690AD0403497BBCDF6F6C99FAB"/>
    <w:rsid w:val="0051012A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14</Pages>
  <Words>805</Words>
  <Characters>4592</Characters>
  <Application>Microsoft Office Word</Application>
  <DocSecurity>0</DocSecurity>
  <Lines>38</Lines>
  <Paragraphs>10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DOMA</Company>
  <LinksUpToDate>false</LinksUpToDate>
  <CharactersWithSpaces>5387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Návrh Dunajského nadnárodného programu 2014-2020</dc:creator>
  <cp:keywords/>
  <dc:description/>
  <cp:lastModifiedBy>PC</cp:lastModifiedBy>
  <cp:revision>5</cp:revision>
  <dcterms:created xsi:type="dcterms:W3CDTF">2014-12-09T00:43:00Z</dcterms:created>
  <dcterms:modified xsi:type="dcterms:W3CDTF">2014-12-09T15:12:00Z</dcterms:modified>
</cp:coreProperties>
</file>