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700" w:rsidRPr="00506B33" w:rsidRDefault="00BF4778">
      <w:pPr>
        <w:rPr>
          <w:rFonts w:ascii="Arial" w:hAnsi="Arial" w:cs="Arial"/>
          <w:b/>
        </w:rPr>
      </w:pPr>
      <w:r w:rsidRPr="00506B33">
        <w:rPr>
          <w:rFonts w:ascii="Arial" w:hAnsi="Arial" w:cs="Arial"/>
          <w:b/>
        </w:rPr>
        <w:t>DNP Dunajský nadnárodný program</w:t>
      </w:r>
      <w:r w:rsidR="00A46F5C" w:rsidRPr="00506B33">
        <w:rPr>
          <w:rFonts w:ascii="Arial" w:hAnsi="Arial" w:cs="Arial"/>
          <w:b/>
        </w:rPr>
        <w:t xml:space="preserve"> 2014 - 2020</w:t>
      </w:r>
    </w:p>
    <w:p w:rsidR="00C76574" w:rsidRPr="00506B33" w:rsidRDefault="00C76574">
      <w:pPr>
        <w:rPr>
          <w:rFonts w:ascii="Arial" w:hAnsi="Arial" w:cs="Arial"/>
          <w:b/>
        </w:rPr>
      </w:pPr>
      <w:r w:rsidRPr="00506B33">
        <w:rPr>
          <w:rFonts w:ascii="Arial" w:hAnsi="Arial" w:cs="Arial"/>
          <w:b/>
        </w:rPr>
        <w:t>Glo</w:t>
      </w:r>
      <w:r w:rsidR="00BF4778" w:rsidRPr="00506B33">
        <w:rPr>
          <w:rFonts w:ascii="Arial" w:hAnsi="Arial" w:cs="Arial"/>
          <w:b/>
        </w:rPr>
        <w:t>sár</w:t>
      </w:r>
    </w:p>
    <w:tbl>
      <w:tblPr>
        <w:tblStyle w:val="Mriekatabuky"/>
        <w:tblW w:w="0" w:type="auto"/>
        <w:tblLayout w:type="fixed"/>
        <w:tblLook w:val="04A0" w:firstRow="1" w:lastRow="0" w:firstColumn="1" w:lastColumn="0" w:noHBand="0" w:noVBand="1"/>
      </w:tblPr>
      <w:tblGrid>
        <w:gridCol w:w="2376"/>
        <w:gridCol w:w="6912"/>
      </w:tblGrid>
      <w:tr w:rsidR="0018238E" w:rsidRPr="00506B33" w:rsidTr="00034515">
        <w:tc>
          <w:tcPr>
            <w:tcW w:w="2376" w:type="dxa"/>
          </w:tcPr>
          <w:p w:rsidR="0018238E" w:rsidRPr="00506B33" w:rsidRDefault="0018238E" w:rsidP="00E418F3">
            <w:pPr>
              <w:autoSpaceDE w:val="0"/>
              <w:autoSpaceDN w:val="0"/>
              <w:adjustRightInd w:val="0"/>
              <w:spacing w:beforeLines="20" w:before="48" w:afterLines="20" w:after="48"/>
              <w:rPr>
                <w:rFonts w:ascii="Arial" w:hAnsi="Arial" w:cs="Arial"/>
                <w:b/>
                <w:sz w:val="20"/>
                <w:szCs w:val="20"/>
              </w:rPr>
            </w:pPr>
            <w:r w:rsidRPr="00506B33">
              <w:rPr>
                <w:rFonts w:ascii="Arial" w:hAnsi="Arial" w:cs="Arial"/>
                <w:b/>
                <w:sz w:val="20"/>
                <w:szCs w:val="20"/>
              </w:rPr>
              <w:t>Ekologické inovácie</w:t>
            </w:r>
          </w:p>
          <w:p w:rsidR="0018238E" w:rsidRPr="00506B33" w:rsidRDefault="0018238E" w:rsidP="00E418F3">
            <w:pPr>
              <w:autoSpaceDE w:val="0"/>
              <w:autoSpaceDN w:val="0"/>
              <w:adjustRightInd w:val="0"/>
              <w:spacing w:beforeLines="20" w:before="48" w:afterLines="20" w:after="48"/>
              <w:rPr>
                <w:rFonts w:ascii="Arial" w:hAnsi="Arial" w:cs="Arial"/>
                <w:b/>
                <w:sz w:val="20"/>
                <w:szCs w:val="20"/>
              </w:rPr>
            </w:pPr>
          </w:p>
        </w:tc>
        <w:tc>
          <w:tcPr>
            <w:tcW w:w="6912" w:type="dxa"/>
          </w:tcPr>
          <w:p w:rsidR="0018238E" w:rsidRPr="00506B33" w:rsidRDefault="0018238E" w:rsidP="00E418F3">
            <w:pPr>
              <w:pStyle w:val="maufzhlung"/>
              <w:numPr>
                <w:ilvl w:val="0"/>
                <w:numId w:val="0"/>
              </w:numPr>
              <w:spacing w:beforeLines="20" w:before="48" w:afterLines="20" w:after="48" w:line="240" w:lineRule="auto"/>
              <w:rPr>
                <w:rFonts w:eastAsia="ECSquareSansPro" w:cs="Arial"/>
              </w:rPr>
            </w:pPr>
            <w:r w:rsidRPr="00506B33">
              <w:rPr>
                <w:rFonts w:cs="Arial"/>
              </w:rPr>
              <w:t>Ekologické inovácie sa stali jednou z priorít EÚ úzko súvisiacou s prispôsobovaním sa zmene klímy a zmierňovaním zmeny klímy a je to termín používaný na opis technologických produktov a procesov, ktoré prispievajú k trvalo udržateľnému rozvoju. Ekologické inovácie sú komerčná aplikácia znalostí na rozvinutie priamych či nepriamych ekologických zlepšení (napr. na riešenie prispôsobovania sa zmene klímy alebo zmierňovanie zmeny klímy). Ekologické inovácie úzko súvisia s radom rôznych súvisiacich termínov, ako napríklad “environmentálna technológia” alebo “ekologická efektívnosť”. Ekologické inovácie majú rozmer súvisiaci s energiou (výroba energie z obnoviteľných zdrojov a ich integrácia do energetického systému, energetická efektívnosť) a rozmer nesúvisiaci s energiou (environmentálne technológie v doprave, vode a odpadovej vode, ovzduší a životnom prostredí, materiáloch, výrobe / priemyselné, recyklácia a odpad, manažment recyklácie).</w:t>
            </w:r>
          </w:p>
        </w:tc>
      </w:tr>
      <w:tr w:rsidR="0018238E" w:rsidRPr="00506B33" w:rsidTr="00034515">
        <w:tc>
          <w:tcPr>
            <w:tcW w:w="2376" w:type="dxa"/>
          </w:tcPr>
          <w:p w:rsidR="0018238E" w:rsidRPr="00506B33" w:rsidRDefault="0018238E" w:rsidP="00E418F3">
            <w:pPr>
              <w:autoSpaceDE w:val="0"/>
              <w:autoSpaceDN w:val="0"/>
              <w:adjustRightInd w:val="0"/>
              <w:spacing w:beforeLines="20" w:before="48" w:afterLines="20" w:after="48"/>
              <w:rPr>
                <w:rFonts w:ascii="Arial" w:hAnsi="Arial" w:cs="Arial"/>
                <w:b/>
                <w:sz w:val="20"/>
                <w:szCs w:val="20"/>
              </w:rPr>
            </w:pPr>
            <w:r w:rsidRPr="00506B33">
              <w:rPr>
                <w:rFonts w:ascii="Arial" w:hAnsi="Arial" w:cs="Arial"/>
                <w:b/>
                <w:sz w:val="20"/>
                <w:szCs w:val="20"/>
              </w:rPr>
              <w:t>Ekosystémové služby</w:t>
            </w:r>
          </w:p>
          <w:p w:rsidR="0018238E" w:rsidRPr="00506B33" w:rsidRDefault="0018238E" w:rsidP="00E418F3">
            <w:pPr>
              <w:autoSpaceDE w:val="0"/>
              <w:autoSpaceDN w:val="0"/>
              <w:adjustRightInd w:val="0"/>
              <w:spacing w:beforeLines="20" w:before="48" w:afterLines="20" w:after="48"/>
              <w:rPr>
                <w:rFonts w:ascii="Arial" w:hAnsi="Arial" w:cs="Arial"/>
                <w:b/>
                <w:sz w:val="20"/>
                <w:szCs w:val="20"/>
              </w:rPr>
            </w:pPr>
          </w:p>
        </w:tc>
        <w:tc>
          <w:tcPr>
            <w:tcW w:w="6912" w:type="dxa"/>
          </w:tcPr>
          <w:p w:rsidR="0018238E" w:rsidRDefault="00E418F3" w:rsidP="00E418F3">
            <w:pPr>
              <w:autoSpaceDE w:val="0"/>
              <w:autoSpaceDN w:val="0"/>
              <w:adjustRightInd w:val="0"/>
              <w:spacing w:beforeLines="20" w:before="48" w:afterLines="20" w:after="48"/>
              <w:rPr>
                <w:rFonts w:ascii="Arial" w:hAnsi="Arial" w:cs="Arial"/>
                <w:sz w:val="20"/>
                <w:szCs w:val="20"/>
              </w:rPr>
            </w:pPr>
            <w:r>
              <w:rPr>
                <w:rFonts w:ascii="Arial" w:hAnsi="Arial" w:cs="Arial"/>
                <w:sz w:val="20"/>
                <w:szCs w:val="20"/>
              </w:rPr>
              <w:t>Ekosystémové služby sú priamym a nepriamym prispením ekosystémov k blahu človeka (podľa štúdie TEEB Vedecké a ekonomické základy hodnotenia služieb biodiverzity a ekosystémov, časť D0 poskytovanie teoretických základov). Podporujú pria</w:t>
            </w:r>
            <w:bookmarkStart w:id="0" w:name="_GoBack"/>
            <w:bookmarkEnd w:id="0"/>
            <w:r>
              <w:rPr>
                <w:rFonts w:ascii="Arial" w:hAnsi="Arial" w:cs="Arial"/>
                <w:sz w:val="20"/>
                <w:szCs w:val="20"/>
              </w:rPr>
              <w:t>mo alebo nepriamo naše prežitie a kvalitu života. Podľa štúdie TEEB možno ekosystémové služby rozdeliť do štyroch hlavných typov:</w:t>
            </w:r>
          </w:p>
          <w:p w:rsidR="00E418F3" w:rsidRDefault="00E418F3" w:rsidP="00E418F3">
            <w:pPr>
              <w:pStyle w:val="Odsekzoznamu"/>
              <w:numPr>
                <w:ilvl w:val="0"/>
                <w:numId w:val="3"/>
              </w:numPr>
              <w:autoSpaceDE w:val="0"/>
              <w:autoSpaceDN w:val="0"/>
              <w:adjustRightInd w:val="0"/>
              <w:spacing w:beforeLines="20" w:before="48" w:afterLines="20" w:after="48"/>
              <w:rPr>
                <w:rFonts w:ascii="Arial" w:hAnsi="Arial" w:cs="Arial"/>
                <w:i/>
                <w:sz w:val="20"/>
                <w:szCs w:val="20"/>
              </w:rPr>
            </w:pPr>
            <w:r>
              <w:rPr>
                <w:rFonts w:ascii="Arial" w:hAnsi="Arial" w:cs="Arial"/>
                <w:i/>
                <w:sz w:val="20"/>
                <w:szCs w:val="20"/>
              </w:rPr>
              <w:t>Zabezpečovacie služby sú produkty získané z ekosystémov, ako sú potraviny, sladká voda, drevo, vláknina, genetické zdroje a liečivá.</w:t>
            </w:r>
          </w:p>
          <w:p w:rsidR="002E2C61" w:rsidRDefault="002E2C61" w:rsidP="00E418F3">
            <w:pPr>
              <w:pStyle w:val="Odsekzoznamu"/>
              <w:numPr>
                <w:ilvl w:val="0"/>
                <w:numId w:val="3"/>
              </w:numPr>
              <w:autoSpaceDE w:val="0"/>
              <w:autoSpaceDN w:val="0"/>
              <w:adjustRightInd w:val="0"/>
              <w:spacing w:beforeLines="20" w:before="48" w:afterLines="20" w:after="48"/>
              <w:rPr>
                <w:rFonts w:ascii="Arial" w:hAnsi="Arial" w:cs="Arial"/>
                <w:i/>
                <w:sz w:val="20"/>
                <w:szCs w:val="20"/>
              </w:rPr>
            </w:pPr>
            <w:r>
              <w:rPr>
                <w:rFonts w:ascii="Arial" w:hAnsi="Arial" w:cs="Arial"/>
                <w:i/>
                <w:sz w:val="20"/>
                <w:szCs w:val="20"/>
              </w:rPr>
              <w:t>Regulačné služby sú definované ako regulácia klímy, regulácia prírodných rizík, čistenie vôd a nakladanie s odpadmi, opeľovanie alebo kontrola škodcov.</w:t>
            </w:r>
          </w:p>
          <w:p w:rsidR="002E2C61" w:rsidRDefault="002E2C61" w:rsidP="00E418F3">
            <w:pPr>
              <w:pStyle w:val="Odsekzoznamu"/>
              <w:numPr>
                <w:ilvl w:val="0"/>
                <w:numId w:val="3"/>
              </w:numPr>
              <w:autoSpaceDE w:val="0"/>
              <w:autoSpaceDN w:val="0"/>
              <w:adjustRightInd w:val="0"/>
              <w:spacing w:beforeLines="20" w:before="48" w:afterLines="20" w:after="48"/>
              <w:rPr>
                <w:rFonts w:ascii="Arial" w:hAnsi="Arial" w:cs="Arial"/>
                <w:i/>
                <w:sz w:val="20"/>
                <w:szCs w:val="20"/>
              </w:rPr>
            </w:pPr>
            <w:proofErr w:type="spellStart"/>
            <w:r>
              <w:rPr>
                <w:rFonts w:ascii="Arial" w:hAnsi="Arial" w:cs="Arial"/>
                <w:i/>
                <w:sz w:val="20"/>
                <w:szCs w:val="20"/>
              </w:rPr>
              <w:t>Stanovištné</w:t>
            </w:r>
            <w:proofErr w:type="spellEnd"/>
            <w:r>
              <w:rPr>
                <w:rFonts w:ascii="Arial" w:hAnsi="Arial" w:cs="Arial"/>
                <w:i/>
                <w:sz w:val="20"/>
                <w:szCs w:val="20"/>
              </w:rPr>
              <w:t xml:space="preserve"> (</w:t>
            </w:r>
            <w:proofErr w:type="spellStart"/>
            <w:r>
              <w:rPr>
                <w:rFonts w:ascii="Arial" w:hAnsi="Arial" w:cs="Arial"/>
                <w:i/>
                <w:sz w:val="20"/>
                <w:szCs w:val="20"/>
              </w:rPr>
              <w:t>biotopové</w:t>
            </w:r>
            <w:proofErr w:type="spellEnd"/>
            <w:r>
              <w:rPr>
                <w:rFonts w:ascii="Arial" w:hAnsi="Arial" w:cs="Arial"/>
                <w:i/>
                <w:sz w:val="20"/>
                <w:szCs w:val="20"/>
              </w:rPr>
              <w:t xml:space="preserve">) služby hovoria o význame ekosystémov pri poskytovaní stanovišťa pre migračné druhy a zachovaní životaschopnosti genotypov. </w:t>
            </w:r>
          </w:p>
          <w:p w:rsidR="002E2C61" w:rsidRDefault="002E2C61" w:rsidP="00E418F3">
            <w:pPr>
              <w:pStyle w:val="Odsekzoznamu"/>
              <w:numPr>
                <w:ilvl w:val="0"/>
                <w:numId w:val="3"/>
              </w:numPr>
              <w:autoSpaceDE w:val="0"/>
              <w:autoSpaceDN w:val="0"/>
              <w:adjustRightInd w:val="0"/>
              <w:spacing w:beforeLines="20" w:before="48" w:afterLines="20" w:after="48"/>
              <w:rPr>
                <w:rFonts w:ascii="Arial" w:hAnsi="Arial" w:cs="Arial"/>
                <w:i/>
                <w:sz w:val="20"/>
                <w:szCs w:val="20"/>
              </w:rPr>
            </w:pPr>
            <w:r>
              <w:rPr>
                <w:rFonts w:ascii="Arial" w:hAnsi="Arial" w:cs="Arial"/>
                <w:i/>
                <w:sz w:val="20"/>
                <w:szCs w:val="20"/>
              </w:rPr>
              <w:t>Kultúrne služby zahŕňajú nemateriálne prínosy, ktoré ľudia získavajú z ekosystémov, ako sú napríklad duchovné obohatenie, intelektuálny rozvoj, rekreácia a estetické hodnoty.</w:t>
            </w:r>
          </w:p>
          <w:p w:rsidR="002E2C61" w:rsidRPr="002E2C61" w:rsidRDefault="002E2C61" w:rsidP="002E2C61">
            <w:pPr>
              <w:autoSpaceDE w:val="0"/>
              <w:autoSpaceDN w:val="0"/>
              <w:adjustRightInd w:val="0"/>
              <w:spacing w:beforeLines="20" w:before="48" w:afterLines="20" w:after="48"/>
              <w:rPr>
                <w:rFonts w:ascii="Arial" w:hAnsi="Arial" w:cs="Arial"/>
                <w:sz w:val="20"/>
                <w:szCs w:val="20"/>
              </w:rPr>
            </w:pPr>
            <w:r>
              <w:rPr>
                <w:rFonts w:ascii="Arial" w:hAnsi="Arial" w:cs="Arial"/>
                <w:sz w:val="20"/>
                <w:szCs w:val="20"/>
              </w:rPr>
              <w:t xml:space="preserve">Zdroj: </w:t>
            </w:r>
            <w:hyperlink r:id="rId6" w:history="1">
              <w:r w:rsidRPr="00534C62">
                <w:rPr>
                  <w:rStyle w:val="Hypertextovprepojenie"/>
                  <w:rFonts w:ascii="Arial" w:hAnsi="Arial" w:cs="Arial"/>
                  <w:sz w:val="20"/>
                  <w:szCs w:val="20"/>
                </w:rPr>
                <w:t>http://biodiversity.europa.eu/topics/ecosystem-services</w:t>
              </w:r>
            </w:hyperlink>
            <w:r>
              <w:rPr>
                <w:rFonts w:ascii="Arial" w:hAnsi="Arial" w:cs="Arial"/>
                <w:sz w:val="20"/>
                <w:szCs w:val="20"/>
              </w:rPr>
              <w:t xml:space="preserve"> </w:t>
            </w:r>
          </w:p>
        </w:tc>
      </w:tr>
      <w:tr w:rsidR="0018238E" w:rsidRPr="00506B33" w:rsidTr="00034515">
        <w:tc>
          <w:tcPr>
            <w:tcW w:w="2376" w:type="dxa"/>
          </w:tcPr>
          <w:p w:rsidR="0018238E" w:rsidRPr="00506B33" w:rsidRDefault="0018238E" w:rsidP="00E418F3">
            <w:pPr>
              <w:autoSpaceDE w:val="0"/>
              <w:autoSpaceDN w:val="0"/>
              <w:adjustRightInd w:val="0"/>
              <w:spacing w:beforeLines="20" w:before="48" w:afterLines="20" w:after="48"/>
              <w:rPr>
                <w:rFonts w:ascii="Arial" w:hAnsi="Arial" w:cs="Arial"/>
                <w:b/>
                <w:sz w:val="20"/>
                <w:szCs w:val="20"/>
              </w:rPr>
            </w:pPr>
            <w:r w:rsidRPr="00506B33">
              <w:rPr>
                <w:rFonts w:ascii="Arial" w:hAnsi="Arial" w:cs="Arial"/>
                <w:b/>
                <w:sz w:val="20"/>
                <w:szCs w:val="20"/>
              </w:rPr>
              <w:t>Inovatívny systém učenia sa</w:t>
            </w:r>
          </w:p>
          <w:p w:rsidR="0018238E" w:rsidRPr="00506B33" w:rsidRDefault="0018238E" w:rsidP="00E418F3">
            <w:pPr>
              <w:spacing w:beforeLines="20" w:before="48" w:afterLines="20" w:after="48"/>
              <w:rPr>
                <w:rFonts w:ascii="Arial" w:hAnsi="Arial" w:cs="Arial"/>
                <w:b/>
                <w:sz w:val="20"/>
                <w:szCs w:val="20"/>
              </w:rPr>
            </w:pPr>
          </w:p>
        </w:tc>
        <w:tc>
          <w:tcPr>
            <w:tcW w:w="6912" w:type="dxa"/>
          </w:tcPr>
          <w:p w:rsidR="0018238E" w:rsidRPr="00506B33" w:rsidRDefault="0018238E" w:rsidP="00E418F3">
            <w:pPr>
              <w:autoSpaceDE w:val="0"/>
              <w:autoSpaceDN w:val="0"/>
              <w:adjustRightInd w:val="0"/>
              <w:spacing w:beforeLines="20" w:before="48" w:afterLines="20" w:after="48"/>
              <w:rPr>
                <w:rFonts w:ascii="Arial" w:hAnsi="Arial" w:cs="Arial"/>
                <w:sz w:val="20"/>
                <w:szCs w:val="20"/>
              </w:rPr>
            </w:pPr>
            <w:r w:rsidRPr="00506B33">
              <w:rPr>
                <w:rFonts w:ascii="Arial" w:hAnsi="Arial" w:cs="Arial"/>
                <w:sz w:val="20"/>
                <w:szCs w:val="20"/>
              </w:rPr>
              <w:t>Vytvorenie priaznivého prostredia a rámca na implementáciu vzdelávania, výcviku a odbornej prípravy so špecifickým zámerom budovať inovačné a kreatívne zručnosti, ako aj podnikateľské a mäkké zručnosti na podporu inovácií v dunajskom regióne.</w:t>
            </w:r>
          </w:p>
        </w:tc>
      </w:tr>
      <w:tr w:rsidR="0018238E" w:rsidRPr="00506B33" w:rsidTr="00034515">
        <w:tc>
          <w:tcPr>
            <w:tcW w:w="2376" w:type="dxa"/>
          </w:tcPr>
          <w:p w:rsidR="0018238E" w:rsidRPr="00506B33" w:rsidRDefault="0018238E" w:rsidP="00E418F3">
            <w:pPr>
              <w:spacing w:beforeLines="20" w:before="48" w:afterLines="20" w:after="48"/>
              <w:rPr>
                <w:rFonts w:ascii="Arial" w:hAnsi="Arial" w:cs="Arial"/>
                <w:b/>
                <w:sz w:val="20"/>
                <w:szCs w:val="20"/>
              </w:rPr>
            </w:pPr>
            <w:r w:rsidRPr="00506B33">
              <w:rPr>
                <w:rFonts w:ascii="Arial" w:hAnsi="Arial" w:cs="Arial"/>
                <w:b/>
                <w:sz w:val="20"/>
                <w:szCs w:val="20"/>
              </w:rPr>
              <w:t>Kultúrne inkubátory</w:t>
            </w:r>
          </w:p>
        </w:tc>
        <w:tc>
          <w:tcPr>
            <w:tcW w:w="6912" w:type="dxa"/>
          </w:tcPr>
          <w:p w:rsidR="0018238E" w:rsidRPr="00506B33" w:rsidRDefault="0018238E" w:rsidP="00E418F3">
            <w:pPr>
              <w:spacing w:beforeLines="20" w:before="48" w:afterLines="20" w:after="48"/>
              <w:rPr>
                <w:rFonts w:ascii="Arial" w:hAnsi="Arial" w:cs="Arial"/>
                <w:sz w:val="20"/>
                <w:szCs w:val="20"/>
              </w:rPr>
            </w:pPr>
            <w:r w:rsidRPr="00506B33">
              <w:rPr>
                <w:rFonts w:ascii="Arial" w:hAnsi="Arial" w:cs="Arial"/>
                <w:sz w:val="20"/>
                <w:szCs w:val="20"/>
              </w:rPr>
              <w:t>Koncepcia Inkubátorov pre kultúrne podniky (IKP) má dve škálovateľné verzie. Na jednej strane samotný inkubátor (t.j. budova), priestor, v ktorom sa nové spoločnosti dostávajú do styku s inými pracujúcimi v komplementárnych sektoroch. Tieto spoločnosti okrem toho dostávajú poradenstvo na mieste. Na druhej strane virtuálny inkubátor, definovaný ako súbor nástrojov a online služieb, ktoré budú slúžiť ako kanál komunikácie a prenosu znalostí medzi podnikateľmi a technickými odborníkmi v manažmente podnikov.</w:t>
            </w:r>
          </w:p>
          <w:p w:rsidR="0018238E" w:rsidRPr="00506B33" w:rsidRDefault="002E2C61" w:rsidP="00E418F3">
            <w:pPr>
              <w:spacing w:beforeLines="20" w:before="48" w:afterLines="20" w:after="48"/>
              <w:rPr>
                <w:rFonts w:ascii="Arial" w:hAnsi="Arial" w:cs="Arial"/>
                <w:b/>
                <w:sz w:val="20"/>
                <w:szCs w:val="20"/>
              </w:rPr>
            </w:pPr>
            <w:hyperlink r:id="rId7" w:history="1">
              <w:r w:rsidR="0018238E" w:rsidRPr="00506B33">
                <w:rPr>
                  <w:rStyle w:val="Hypertextovprepojenie"/>
                  <w:rFonts w:ascii="Arial" w:hAnsi="Arial" w:cs="Arial"/>
                  <w:sz w:val="20"/>
                  <w:szCs w:val="20"/>
                </w:rPr>
                <w:t>http://www.3c4incubators.eu/wp-content/uploads/2014/02/ICE-Sustainability-Model.pdf</w:t>
              </w:r>
            </w:hyperlink>
            <w:r w:rsidR="0018238E" w:rsidRPr="00506B33">
              <w:rPr>
                <w:rFonts w:ascii="Arial" w:hAnsi="Arial" w:cs="Arial"/>
                <w:sz w:val="20"/>
                <w:szCs w:val="20"/>
              </w:rPr>
              <w:t xml:space="preserve"> </w:t>
            </w:r>
            <w:r w:rsidR="0018238E" w:rsidRPr="00506B33">
              <w:rPr>
                <w:rFonts w:ascii="Arial" w:hAnsi="Arial" w:cs="Arial"/>
                <w:noProof/>
                <w:sz w:val="20"/>
                <w:szCs w:val="20"/>
                <w:lang w:eastAsia="de-AT"/>
              </w:rPr>
              <w:t>(Inkubátory pre kultúrne podniky)</w:t>
            </w:r>
          </w:p>
        </w:tc>
      </w:tr>
      <w:tr w:rsidR="0018238E" w:rsidRPr="00506B33" w:rsidTr="00034515">
        <w:tc>
          <w:tcPr>
            <w:tcW w:w="2376" w:type="dxa"/>
          </w:tcPr>
          <w:p w:rsidR="0018238E" w:rsidRPr="00506B33" w:rsidRDefault="0018238E" w:rsidP="00E418F3">
            <w:pPr>
              <w:spacing w:beforeLines="20" w:before="48" w:afterLines="20" w:after="48"/>
              <w:rPr>
                <w:rFonts w:ascii="Arial" w:hAnsi="Arial" w:cs="Arial"/>
                <w:b/>
                <w:sz w:val="20"/>
                <w:szCs w:val="20"/>
              </w:rPr>
            </w:pPr>
            <w:r w:rsidRPr="00506B33">
              <w:rPr>
                <w:rFonts w:ascii="Arial" w:hAnsi="Arial" w:cs="Arial"/>
                <w:b/>
                <w:sz w:val="20"/>
                <w:szCs w:val="20"/>
              </w:rPr>
              <w:t>MSP (</w:t>
            </w:r>
            <w:proofErr w:type="spellStart"/>
            <w:r w:rsidRPr="00506B33">
              <w:rPr>
                <w:rFonts w:ascii="Arial" w:hAnsi="Arial" w:cs="Arial"/>
                <w:b/>
                <w:sz w:val="20"/>
                <w:szCs w:val="20"/>
              </w:rPr>
              <w:t>mikropodniky</w:t>
            </w:r>
            <w:proofErr w:type="spellEnd"/>
            <w:r w:rsidRPr="00506B33">
              <w:rPr>
                <w:rFonts w:ascii="Arial" w:hAnsi="Arial" w:cs="Arial"/>
                <w:b/>
                <w:sz w:val="20"/>
                <w:szCs w:val="20"/>
              </w:rPr>
              <w:t>, malé alebo stredné podniky)</w:t>
            </w:r>
          </w:p>
        </w:tc>
        <w:tc>
          <w:tcPr>
            <w:tcW w:w="6912" w:type="dxa"/>
          </w:tcPr>
          <w:p w:rsidR="0018238E" w:rsidRPr="00506B33" w:rsidRDefault="0018238E" w:rsidP="00E418F3">
            <w:pPr>
              <w:autoSpaceDE w:val="0"/>
              <w:autoSpaceDN w:val="0"/>
              <w:adjustRightInd w:val="0"/>
              <w:spacing w:beforeLines="20" w:before="48" w:afterLines="20" w:after="48"/>
              <w:rPr>
                <w:rFonts w:ascii="Arial" w:hAnsi="Arial" w:cs="Arial"/>
                <w:bCs/>
                <w:iCs/>
                <w:sz w:val="20"/>
                <w:szCs w:val="20"/>
              </w:rPr>
            </w:pPr>
            <w:r w:rsidRPr="00506B33">
              <w:rPr>
                <w:rFonts w:ascii="Arial" w:hAnsi="Arial" w:cs="Arial"/>
                <w:bCs/>
                <w:iCs/>
                <w:sz w:val="20"/>
                <w:szCs w:val="20"/>
              </w:rPr>
              <w:t xml:space="preserve">Kategória </w:t>
            </w:r>
            <w:proofErr w:type="spellStart"/>
            <w:r w:rsidRPr="00506B33">
              <w:rPr>
                <w:rFonts w:ascii="Arial" w:hAnsi="Arial" w:cs="Arial"/>
                <w:bCs/>
                <w:iCs/>
                <w:sz w:val="20"/>
                <w:szCs w:val="20"/>
              </w:rPr>
              <w:t>mikropodnikov</w:t>
            </w:r>
            <w:proofErr w:type="spellEnd"/>
            <w:r w:rsidRPr="00506B33">
              <w:rPr>
                <w:rFonts w:ascii="Arial" w:hAnsi="Arial" w:cs="Arial"/>
                <w:bCs/>
                <w:iCs/>
                <w:sz w:val="20"/>
                <w:szCs w:val="20"/>
              </w:rPr>
              <w:t>, malých a stredných podnikov (MSP) sa skladá z podnikov, ktoré zamestnávajú menej ako 250 osôb, a ktoré majú ročný obrat nepresahujúci 50 miliónov eur, a/alebo ktorých celková bilančná suma nepresahuje 43 miliónov eur.</w:t>
            </w:r>
          </w:p>
          <w:p w:rsidR="0018238E" w:rsidRPr="00506B33" w:rsidRDefault="002E2C61" w:rsidP="00E418F3">
            <w:pPr>
              <w:autoSpaceDE w:val="0"/>
              <w:autoSpaceDN w:val="0"/>
              <w:adjustRightInd w:val="0"/>
              <w:spacing w:beforeLines="20" w:before="48" w:afterLines="20" w:after="48"/>
              <w:rPr>
                <w:rFonts w:ascii="Arial" w:hAnsi="Arial" w:cs="Arial"/>
                <w:sz w:val="20"/>
                <w:szCs w:val="20"/>
              </w:rPr>
            </w:pPr>
            <w:hyperlink r:id="rId8" w:history="1">
              <w:r w:rsidR="0018238E" w:rsidRPr="00506B33">
                <w:rPr>
                  <w:rStyle w:val="Hypertextovprepojenie"/>
                  <w:rFonts w:ascii="Arial" w:hAnsi="Arial" w:cs="Arial"/>
                  <w:sz w:val="20"/>
                  <w:szCs w:val="20"/>
                </w:rPr>
                <w:t>http://ec.europa.eu/enterprise/policies/sme/files/sme_definition/sme_user_guide_en.pdf</w:t>
              </w:r>
            </w:hyperlink>
            <w:r w:rsidR="0018238E" w:rsidRPr="00506B33">
              <w:rPr>
                <w:rFonts w:ascii="Arial" w:hAnsi="Arial" w:cs="Arial"/>
                <w:sz w:val="20"/>
                <w:szCs w:val="20"/>
              </w:rPr>
              <w:t xml:space="preserve"> (definícia MSP</w:t>
            </w:r>
            <w:r w:rsidR="0018238E" w:rsidRPr="00506B33">
              <w:rPr>
                <w:rFonts w:ascii="Arial" w:hAnsi="Arial" w:cs="Arial"/>
                <w:bCs/>
                <w:sz w:val="20"/>
                <w:szCs w:val="20"/>
              </w:rPr>
              <w:t xml:space="preserve"> Návod pre používateľa a vzor vyhlásenia</w:t>
            </w:r>
            <w:r w:rsidR="0018238E" w:rsidRPr="00506B33">
              <w:rPr>
                <w:rFonts w:ascii="Arial" w:hAnsi="Arial" w:cs="Arial"/>
                <w:sz w:val="20"/>
                <w:szCs w:val="20"/>
              </w:rPr>
              <w:t>)</w:t>
            </w:r>
          </w:p>
        </w:tc>
      </w:tr>
      <w:tr w:rsidR="0018238E" w:rsidRPr="00506B33" w:rsidTr="00034515">
        <w:tc>
          <w:tcPr>
            <w:tcW w:w="2376" w:type="dxa"/>
          </w:tcPr>
          <w:p w:rsidR="0018238E" w:rsidRPr="00506B33" w:rsidRDefault="0018238E" w:rsidP="003A59C0">
            <w:pPr>
              <w:rPr>
                <w:b/>
              </w:rPr>
            </w:pPr>
            <w:r w:rsidRPr="00506B33">
              <w:rPr>
                <w:rFonts w:ascii="Arial" w:hAnsi="Arial" w:cs="Arial"/>
                <w:b/>
                <w:sz w:val="20"/>
                <w:szCs w:val="20"/>
              </w:rPr>
              <w:t>Multimodálna doprava</w:t>
            </w:r>
          </w:p>
        </w:tc>
        <w:tc>
          <w:tcPr>
            <w:tcW w:w="6912" w:type="dxa"/>
          </w:tcPr>
          <w:p w:rsidR="0018238E" w:rsidRPr="00506B33" w:rsidRDefault="0018238E" w:rsidP="00AA3F4D">
            <w:pPr>
              <w:rPr>
                <w:rFonts w:ascii="Arial" w:hAnsi="Arial" w:cs="Arial"/>
                <w:sz w:val="20"/>
                <w:szCs w:val="20"/>
              </w:rPr>
            </w:pPr>
            <w:r w:rsidRPr="00506B33">
              <w:rPr>
                <w:rFonts w:ascii="Arial" w:hAnsi="Arial" w:cs="Arial"/>
                <w:sz w:val="20"/>
                <w:szCs w:val="20"/>
              </w:rPr>
              <w:t xml:space="preserve">Preprava nákladu alebo </w:t>
            </w:r>
            <w:r w:rsidR="007A1CBE">
              <w:rPr>
                <w:rFonts w:ascii="Arial" w:hAnsi="Arial" w:cs="Arial"/>
                <w:sz w:val="20"/>
                <w:szCs w:val="20"/>
              </w:rPr>
              <w:t>cestujúcich,</w:t>
            </w:r>
            <w:r w:rsidRPr="00506B33">
              <w:rPr>
                <w:rFonts w:ascii="Arial" w:hAnsi="Arial" w:cs="Arial"/>
                <w:sz w:val="20"/>
                <w:szCs w:val="20"/>
              </w:rPr>
              <w:t xml:space="preserve"> alebo obo</w:t>
            </w:r>
            <w:r w:rsidR="007A1CBE">
              <w:rPr>
                <w:rFonts w:ascii="Arial" w:hAnsi="Arial" w:cs="Arial"/>
                <w:sz w:val="20"/>
                <w:szCs w:val="20"/>
              </w:rPr>
              <w:t>ch,</w:t>
            </w:r>
            <w:r w:rsidRPr="00506B33">
              <w:rPr>
                <w:rFonts w:ascii="Arial" w:hAnsi="Arial" w:cs="Arial"/>
                <w:sz w:val="20"/>
                <w:szCs w:val="20"/>
              </w:rPr>
              <w:t xml:space="preserve"> p</w:t>
            </w:r>
            <w:r w:rsidR="007A1CBE">
              <w:rPr>
                <w:rFonts w:ascii="Arial" w:hAnsi="Arial" w:cs="Arial"/>
                <w:sz w:val="20"/>
                <w:szCs w:val="20"/>
              </w:rPr>
              <w:t>oužitím</w:t>
            </w:r>
            <w:r w:rsidRPr="00506B33">
              <w:rPr>
                <w:rFonts w:ascii="Arial" w:hAnsi="Arial" w:cs="Arial"/>
                <w:sz w:val="20"/>
                <w:szCs w:val="20"/>
              </w:rPr>
              <w:t xml:space="preserve"> </w:t>
            </w:r>
            <w:r w:rsidR="007A1CBE">
              <w:rPr>
                <w:rFonts w:ascii="Arial" w:hAnsi="Arial" w:cs="Arial"/>
                <w:sz w:val="20"/>
                <w:szCs w:val="20"/>
              </w:rPr>
              <w:t xml:space="preserve">dvoch alebo </w:t>
            </w:r>
            <w:r w:rsidRPr="00506B33">
              <w:rPr>
                <w:rFonts w:ascii="Arial" w:hAnsi="Arial" w:cs="Arial"/>
                <w:sz w:val="20"/>
                <w:szCs w:val="20"/>
              </w:rPr>
              <w:lastRenderedPageBreak/>
              <w:t xml:space="preserve">viacerých </w:t>
            </w:r>
            <w:r w:rsidR="007A1CBE">
              <w:rPr>
                <w:rFonts w:ascii="Arial" w:hAnsi="Arial" w:cs="Arial"/>
                <w:sz w:val="20"/>
                <w:szCs w:val="20"/>
              </w:rPr>
              <w:t>druhov (</w:t>
            </w:r>
            <w:r w:rsidRPr="00506B33">
              <w:rPr>
                <w:rFonts w:ascii="Arial" w:hAnsi="Arial" w:cs="Arial"/>
                <w:sz w:val="20"/>
                <w:szCs w:val="20"/>
              </w:rPr>
              <w:t>spôsobov</w:t>
            </w:r>
            <w:r w:rsidR="007A1CBE">
              <w:rPr>
                <w:rFonts w:ascii="Arial" w:hAnsi="Arial" w:cs="Arial"/>
                <w:sz w:val="20"/>
                <w:szCs w:val="20"/>
              </w:rPr>
              <w:t>)</w:t>
            </w:r>
            <w:r w:rsidRPr="00506B33">
              <w:rPr>
                <w:rFonts w:ascii="Arial" w:hAnsi="Arial" w:cs="Arial"/>
                <w:sz w:val="20"/>
                <w:szCs w:val="20"/>
              </w:rPr>
              <w:t xml:space="preserve"> dopravy.</w:t>
            </w:r>
          </w:p>
          <w:p w:rsidR="0018238E" w:rsidRPr="00506B33" w:rsidRDefault="0018238E" w:rsidP="000633ED">
            <w:r w:rsidRPr="00506B33">
              <w:rPr>
                <w:rFonts w:ascii="Arial" w:hAnsi="Arial" w:cs="Arial"/>
                <w:sz w:val="20"/>
                <w:szCs w:val="20"/>
              </w:rPr>
              <w:t>Nariadenie Európskeho parlamentu a Rady (EÚ) č. 1315/2013 z 11. decembra o usmerneniach Únie</w:t>
            </w:r>
          </w:p>
        </w:tc>
      </w:tr>
      <w:tr w:rsidR="0018238E" w:rsidRPr="00506B33" w:rsidTr="00034515">
        <w:tc>
          <w:tcPr>
            <w:tcW w:w="2376" w:type="dxa"/>
          </w:tcPr>
          <w:p w:rsidR="0018238E" w:rsidRPr="00506B33" w:rsidRDefault="0018238E" w:rsidP="00E418F3">
            <w:pPr>
              <w:autoSpaceDE w:val="0"/>
              <w:autoSpaceDN w:val="0"/>
              <w:adjustRightInd w:val="0"/>
              <w:spacing w:beforeLines="20" w:before="48" w:afterLines="20" w:after="48"/>
              <w:rPr>
                <w:rFonts w:ascii="Arial" w:hAnsi="Arial" w:cs="Arial"/>
                <w:b/>
                <w:sz w:val="20"/>
                <w:szCs w:val="20"/>
              </w:rPr>
            </w:pPr>
            <w:r w:rsidRPr="00506B33">
              <w:rPr>
                <w:rFonts w:ascii="Arial" w:hAnsi="Arial" w:cs="Arial"/>
                <w:b/>
                <w:sz w:val="20"/>
                <w:szCs w:val="20"/>
              </w:rPr>
              <w:lastRenderedPageBreak/>
              <w:t>Multimodálna základná sieť TEN-T</w:t>
            </w:r>
          </w:p>
        </w:tc>
        <w:tc>
          <w:tcPr>
            <w:tcW w:w="6912" w:type="dxa"/>
          </w:tcPr>
          <w:p w:rsidR="0018238E" w:rsidRPr="00506B33" w:rsidRDefault="0018238E" w:rsidP="00E418F3">
            <w:pPr>
              <w:autoSpaceDE w:val="0"/>
              <w:autoSpaceDN w:val="0"/>
              <w:adjustRightInd w:val="0"/>
              <w:spacing w:beforeLines="20" w:before="48" w:afterLines="20" w:after="48"/>
              <w:rPr>
                <w:rFonts w:ascii="Arial" w:hAnsi="Arial" w:cs="Arial"/>
                <w:sz w:val="20"/>
                <w:szCs w:val="20"/>
              </w:rPr>
            </w:pPr>
            <w:r w:rsidRPr="00506B33">
              <w:rPr>
                <w:rFonts w:ascii="Arial" w:hAnsi="Arial" w:cs="Arial"/>
                <w:sz w:val="20"/>
                <w:szCs w:val="20"/>
              </w:rPr>
              <w:t>Strategicky najdôležitejšie časti zložiek infraštruktúrnej siete v oblasti ciest, železníc, vnútrozemských vodných ciest, námornej plavby a letectva, ako aj spojovacie body medzi týmito spôsobmi dopravy, identifikované podľa špecifickej metodiky, transparentne a koherentne aplikované, a vo vzťahu ku ktorým sa bude prioritne podporovať vývoj a implementácia projektu.</w:t>
            </w:r>
          </w:p>
          <w:p w:rsidR="0018238E" w:rsidRPr="00506B33" w:rsidRDefault="0018238E" w:rsidP="00E418F3">
            <w:pPr>
              <w:pStyle w:val="maufzhlung"/>
              <w:numPr>
                <w:ilvl w:val="0"/>
                <w:numId w:val="0"/>
              </w:numPr>
              <w:spacing w:beforeLines="20" w:before="48" w:afterLines="20" w:after="48" w:line="240" w:lineRule="auto"/>
              <w:rPr>
                <w:rFonts w:cs="Arial"/>
              </w:rPr>
            </w:pPr>
            <w:r w:rsidRPr="00506B33">
              <w:rPr>
                <w:rFonts w:cs="Arial"/>
              </w:rPr>
              <w:t xml:space="preserve">Európska komisia – Koridory základnej siete – </w:t>
            </w:r>
            <w:proofErr w:type="spellStart"/>
            <w:r w:rsidRPr="00506B33">
              <w:rPr>
                <w:rFonts w:cs="Arial"/>
              </w:rPr>
              <w:t>Transeurópske</w:t>
            </w:r>
            <w:proofErr w:type="spellEnd"/>
            <w:r w:rsidRPr="00506B33">
              <w:rPr>
                <w:rFonts w:cs="Arial"/>
              </w:rPr>
              <w:t xml:space="preserve"> dopravné siete - 2013</w:t>
            </w:r>
          </w:p>
        </w:tc>
      </w:tr>
      <w:tr w:rsidR="0018238E" w:rsidRPr="00506B33" w:rsidTr="00821056">
        <w:tc>
          <w:tcPr>
            <w:tcW w:w="2376" w:type="dxa"/>
          </w:tcPr>
          <w:p w:rsidR="0018238E" w:rsidRPr="00506B33" w:rsidRDefault="0018238E" w:rsidP="00E418F3">
            <w:pPr>
              <w:spacing w:beforeLines="20" w:before="48" w:afterLines="20" w:after="48"/>
              <w:rPr>
                <w:rFonts w:ascii="Arial" w:hAnsi="Arial" w:cs="Arial"/>
                <w:b/>
                <w:sz w:val="20"/>
                <w:szCs w:val="20"/>
              </w:rPr>
            </w:pPr>
            <w:r w:rsidRPr="00506B33">
              <w:rPr>
                <w:rFonts w:ascii="Arial" w:hAnsi="Arial" w:cs="Arial"/>
                <w:b/>
                <w:sz w:val="20"/>
                <w:szCs w:val="20"/>
              </w:rPr>
              <w:t>OVP- odborné vzdelávanie a príprava</w:t>
            </w:r>
          </w:p>
        </w:tc>
        <w:tc>
          <w:tcPr>
            <w:tcW w:w="6912" w:type="dxa"/>
          </w:tcPr>
          <w:p w:rsidR="0018238E" w:rsidRPr="00506B33" w:rsidRDefault="0018238E" w:rsidP="00E418F3">
            <w:pPr>
              <w:spacing w:beforeLines="20" w:before="48" w:afterLines="20" w:after="48"/>
              <w:rPr>
                <w:rStyle w:val="Siln"/>
                <w:rFonts w:ascii="Arial" w:hAnsi="Arial" w:cs="Arial"/>
                <w:b w:val="0"/>
                <w:color w:val="014976"/>
                <w:sz w:val="20"/>
                <w:szCs w:val="20"/>
              </w:rPr>
            </w:pPr>
            <w:r w:rsidRPr="00506B33">
              <w:rPr>
                <w:rStyle w:val="Siln"/>
                <w:rFonts w:ascii="Arial" w:hAnsi="Arial" w:cs="Arial"/>
                <w:b w:val="0"/>
                <w:sz w:val="20"/>
                <w:szCs w:val="20"/>
              </w:rPr>
              <w:t xml:space="preserve">Vzdelávanie a príprava (výcvik), ktorých cieľom je vybaviť ľudí znalosťami, </w:t>
            </w:r>
            <w:proofErr w:type="spellStart"/>
            <w:r w:rsidRPr="00506B33">
              <w:rPr>
                <w:rStyle w:val="Siln"/>
                <w:rFonts w:ascii="Arial" w:hAnsi="Arial" w:cs="Arial"/>
                <w:b w:val="0"/>
                <w:sz w:val="20"/>
                <w:szCs w:val="20"/>
              </w:rPr>
              <w:t>know-how</w:t>
            </w:r>
            <w:proofErr w:type="spellEnd"/>
            <w:r w:rsidRPr="00506B33">
              <w:rPr>
                <w:rStyle w:val="Siln"/>
                <w:rFonts w:ascii="Arial" w:hAnsi="Arial" w:cs="Arial"/>
                <w:b w:val="0"/>
                <w:sz w:val="20"/>
                <w:szCs w:val="20"/>
              </w:rPr>
              <w:t>, zručnosťami a/alebo kompetentnosťami požadovanými v konkrétnych povolaniach alebo v širšom zmysle na trhu práce.</w:t>
            </w:r>
            <w:r w:rsidRPr="00506B33">
              <w:rPr>
                <w:rStyle w:val="Siln"/>
                <w:rFonts w:ascii="Arial" w:hAnsi="Arial" w:cs="Arial"/>
                <w:b w:val="0"/>
                <w:color w:val="014976"/>
                <w:sz w:val="20"/>
                <w:szCs w:val="20"/>
              </w:rPr>
              <w:t>.</w:t>
            </w:r>
          </w:p>
          <w:p w:rsidR="0018238E" w:rsidRPr="00506B33" w:rsidRDefault="002E2C61" w:rsidP="00E418F3">
            <w:pPr>
              <w:spacing w:beforeLines="20" w:before="48" w:afterLines="20" w:after="48"/>
              <w:rPr>
                <w:rStyle w:val="Siln"/>
                <w:rFonts w:ascii="Arial" w:hAnsi="Arial" w:cs="Arial"/>
                <w:b w:val="0"/>
                <w:sz w:val="20"/>
                <w:szCs w:val="20"/>
              </w:rPr>
            </w:pPr>
            <w:hyperlink r:id="rId9" w:history="1">
              <w:r w:rsidR="0018238E" w:rsidRPr="00506B33">
                <w:rPr>
                  <w:rStyle w:val="Hypertextovprepojenie"/>
                  <w:rFonts w:ascii="Arial" w:hAnsi="Arial" w:cs="Arial"/>
                  <w:sz w:val="20"/>
                  <w:szCs w:val="20"/>
                </w:rPr>
                <w:t>http://www.cedefop.europa.eu/EN/Files/4064_en.pdf</w:t>
              </w:r>
            </w:hyperlink>
          </w:p>
          <w:p w:rsidR="0018238E" w:rsidRPr="00506B33" w:rsidRDefault="0018238E" w:rsidP="00E418F3">
            <w:pPr>
              <w:autoSpaceDE w:val="0"/>
              <w:autoSpaceDN w:val="0"/>
              <w:adjustRightInd w:val="0"/>
              <w:spacing w:beforeLines="20" w:before="48" w:afterLines="20" w:after="48"/>
              <w:rPr>
                <w:rFonts w:ascii="Arial" w:hAnsi="Arial" w:cs="Arial"/>
                <w:sz w:val="20"/>
                <w:szCs w:val="20"/>
              </w:rPr>
            </w:pPr>
            <w:r w:rsidRPr="00506B33">
              <w:rPr>
                <w:rFonts w:ascii="Arial" w:hAnsi="Arial" w:cs="Arial"/>
                <w:bCs/>
                <w:sz w:val="20"/>
                <w:szCs w:val="20"/>
              </w:rPr>
              <w:t>Terminológia európskej politiky vzdelávania a odbornej prípravy. Výber 100 kľúčových termínov</w:t>
            </w:r>
          </w:p>
        </w:tc>
      </w:tr>
      <w:tr w:rsidR="0018238E" w:rsidRPr="00506B33" w:rsidTr="00034515">
        <w:tc>
          <w:tcPr>
            <w:tcW w:w="2376" w:type="dxa"/>
          </w:tcPr>
          <w:p w:rsidR="0018238E" w:rsidRPr="00506B33" w:rsidRDefault="0018238E" w:rsidP="00E418F3">
            <w:pPr>
              <w:spacing w:beforeLines="20" w:before="48" w:afterLines="20" w:after="48"/>
              <w:rPr>
                <w:rFonts w:ascii="Arial" w:hAnsi="Arial" w:cs="Arial"/>
                <w:b/>
                <w:sz w:val="20"/>
                <w:szCs w:val="20"/>
              </w:rPr>
            </w:pPr>
            <w:r w:rsidRPr="00506B33">
              <w:rPr>
                <w:rFonts w:ascii="Arial" w:hAnsi="Arial" w:cs="Arial"/>
                <w:b/>
                <w:sz w:val="20"/>
                <w:szCs w:val="20"/>
              </w:rPr>
              <w:t>PSK (prvostupňová kontrola)</w:t>
            </w:r>
          </w:p>
        </w:tc>
        <w:tc>
          <w:tcPr>
            <w:tcW w:w="6912" w:type="dxa"/>
          </w:tcPr>
          <w:p w:rsidR="0018238E" w:rsidRPr="00506B33" w:rsidRDefault="0018238E" w:rsidP="00E418F3">
            <w:pPr>
              <w:spacing w:beforeLines="20" w:before="48" w:afterLines="20" w:after="48"/>
              <w:rPr>
                <w:rFonts w:ascii="Arial" w:hAnsi="Arial" w:cs="Arial"/>
                <w:sz w:val="20"/>
                <w:szCs w:val="20"/>
              </w:rPr>
            </w:pPr>
            <w:r w:rsidRPr="00506B33">
              <w:rPr>
                <w:rFonts w:ascii="Arial" w:hAnsi="Arial" w:cs="Arial"/>
                <w:sz w:val="20"/>
                <w:szCs w:val="20"/>
              </w:rPr>
              <w:t>Prvostupňová kontrola zahŕňa kontrolu administratívnych, finančných, technických a fyzických aspektov operácií podľa potreby. Zahŕňa kontrolu, či sú všetky projektové výdavky oprávnené podľa Spoločných pravidiel oprávnenosti relevantného programu, Európskych nariadení a Národných právnych predpisov.</w:t>
            </w:r>
          </w:p>
          <w:p w:rsidR="0018238E" w:rsidRPr="00506B33" w:rsidRDefault="002E2C61" w:rsidP="00E418F3">
            <w:pPr>
              <w:spacing w:beforeLines="20" w:before="48" w:afterLines="20" w:after="48"/>
              <w:rPr>
                <w:rFonts w:ascii="Arial" w:hAnsi="Arial" w:cs="Arial"/>
                <w:b/>
                <w:sz w:val="20"/>
                <w:szCs w:val="20"/>
              </w:rPr>
            </w:pPr>
            <w:hyperlink r:id="rId10" w:history="1">
              <w:r w:rsidR="0018238E" w:rsidRPr="00506B33">
                <w:rPr>
                  <w:rStyle w:val="Hypertextovprepojenie"/>
                  <w:rFonts w:ascii="Arial" w:hAnsi="Arial" w:cs="Arial"/>
                  <w:sz w:val="20"/>
                  <w:szCs w:val="20"/>
                </w:rPr>
                <w:t>http://www.seupb.eu/programmes2007-2013/interreg-overview/FirstLevelofControl.aspx</w:t>
              </w:r>
            </w:hyperlink>
            <w:r w:rsidR="0018238E" w:rsidRPr="00506B33">
              <w:rPr>
                <w:rFonts w:ascii="Arial" w:hAnsi="Arial" w:cs="Arial"/>
                <w:sz w:val="20"/>
                <w:szCs w:val="20"/>
              </w:rPr>
              <w:t xml:space="preserve"> (Orgán špeciálnych programov EÚ)</w:t>
            </w:r>
          </w:p>
        </w:tc>
      </w:tr>
      <w:tr w:rsidR="0018238E" w:rsidRPr="00506B33" w:rsidTr="00034515">
        <w:tc>
          <w:tcPr>
            <w:tcW w:w="2376" w:type="dxa"/>
          </w:tcPr>
          <w:p w:rsidR="0018238E" w:rsidRPr="00506B33" w:rsidRDefault="0018238E" w:rsidP="00E418F3">
            <w:pPr>
              <w:autoSpaceDE w:val="0"/>
              <w:autoSpaceDN w:val="0"/>
              <w:adjustRightInd w:val="0"/>
              <w:spacing w:beforeLines="20" w:before="48" w:afterLines="20" w:after="48"/>
              <w:rPr>
                <w:rFonts w:ascii="Arial" w:hAnsi="Arial" w:cs="Arial"/>
                <w:b/>
                <w:sz w:val="20"/>
                <w:szCs w:val="20"/>
              </w:rPr>
            </w:pPr>
            <w:r w:rsidRPr="00506B33">
              <w:rPr>
                <w:rFonts w:ascii="Arial" w:hAnsi="Arial" w:cs="Arial"/>
                <w:b/>
                <w:sz w:val="20"/>
                <w:szCs w:val="20"/>
              </w:rPr>
              <w:t>Riešenia</w:t>
            </w:r>
          </w:p>
        </w:tc>
        <w:tc>
          <w:tcPr>
            <w:tcW w:w="6912" w:type="dxa"/>
          </w:tcPr>
          <w:p w:rsidR="0018238E" w:rsidRPr="00506B33" w:rsidRDefault="0018238E" w:rsidP="00E418F3">
            <w:pPr>
              <w:autoSpaceDE w:val="0"/>
              <w:autoSpaceDN w:val="0"/>
              <w:adjustRightInd w:val="0"/>
              <w:spacing w:beforeLines="20" w:before="48" w:afterLines="20" w:after="48"/>
              <w:rPr>
                <w:rFonts w:ascii="Arial" w:hAnsi="Arial" w:cs="Arial"/>
                <w:sz w:val="20"/>
                <w:szCs w:val="20"/>
              </w:rPr>
            </w:pPr>
            <w:r w:rsidRPr="00506B33">
              <w:rPr>
                <w:rFonts w:ascii="Arial" w:hAnsi="Arial" w:cs="Arial"/>
                <w:sz w:val="20"/>
                <w:szCs w:val="20"/>
              </w:rPr>
              <w:t>Riešenia sú spoločne vyvinuté “hlavné výstupy” operácií vyjadrené počtom spoločných rámcov (stratégií, plánov), počtom nadnárodných nástrojov a služieb, počtom pripravených investícií, počtom pilotných investícií</w:t>
            </w:r>
            <w:r w:rsidR="00E96EAF">
              <w:rPr>
                <w:rFonts w:ascii="Arial" w:hAnsi="Arial" w:cs="Arial"/>
                <w:sz w:val="20"/>
                <w:szCs w:val="20"/>
              </w:rPr>
              <w:t>,</w:t>
            </w:r>
            <w:r w:rsidRPr="00506B33">
              <w:rPr>
                <w:rFonts w:ascii="Arial" w:hAnsi="Arial" w:cs="Arial"/>
                <w:sz w:val="20"/>
                <w:szCs w:val="20"/>
              </w:rPr>
              <w:t xml:space="preserve"> počtom systémov odbornej prípravy a budovania kapacít (nie počtom účastníkov).</w:t>
            </w:r>
          </w:p>
        </w:tc>
      </w:tr>
      <w:tr w:rsidR="0018238E" w:rsidRPr="00506B33" w:rsidTr="00034515">
        <w:tc>
          <w:tcPr>
            <w:tcW w:w="2376" w:type="dxa"/>
          </w:tcPr>
          <w:p w:rsidR="0018238E" w:rsidRPr="00506B33" w:rsidRDefault="0018238E" w:rsidP="00E418F3">
            <w:pPr>
              <w:spacing w:beforeLines="20" w:before="48" w:afterLines="20" w:after="48"/>
              <w:rPr>
                <w:rFonts w:ascii="Arial" w:hAnsi="Arial" w:cs="Arial"/>
                <w:b/>
                <w:sz w:val="20"/>
                <w:szCs w:val="20"/>
              </w:rPr>
            </w:pPr>
            <w:r w:rsidRPr="00506B33">
              <w:rPr>
                <w:rFonts w:ascii="Arial" w:hAnsi="Arial" w:cs="Arial"/>
                <w:b/>
                <w:sz w:val="20"/>
                <w:szCs w:val="20"/>
              </w:rPr>
              <w:t xml:space="preserve">RIS 3 </w:t>
            </w:r>
            <w:r w:rsidRPr="00506B33">
              <w:rPr>
                <w:rFonts w:ascii="Arial" w:hAnsi="Arial" w:cs="Arial"/>
                <w:sz w:val="20"/>
                <w:szCs w:val="20"/>
              </w:rPr>
              <w:t xml:space="preserve">- </w:t>
            </w:r>
            <w:r w:rsidRPr="00506B33">
              <w:rPr>
                <w:rFonts w:ascii="Arial" w:hAnsi="Arial" w:cs="Arial"/>
                <w:b/>
                <w:bCs/>
                <w:sz w:val="20"/>
                <w:szCs w:val="20"/>
              </w:rPr>
              <w:t>Národné/regionálne stratégie výskumu a inovácií pre inteligentnú špecializáciu</w:t>
            </w:r>
          </w:p>
        </w:tc>
        <w:tc>
          <w:tcPr>
            <w:tcW w:w="6912" w:type="dxa"/>
          </w:tcPr>
          <w:p w:rsidR="0018238E" w:rsidRPr="00506B33" w:rsidRDefault="0018238E" w:rsidP="00E418F3">
            <w:pPr>
              <w:autoSpaceDE w:val="0"/>
              <w:autoSpaceDN w:val="0"/>
              <w:adjustRightInd w:val="0"/>
              <w:spacing w:beforeLines="20" w:before="48" w:afterLines="20" w:after="48"/>
              <w:rPr>
                <w:rFonts w:ascii="Arial" w:hAnsi="Arial" w:cs="Arial"/>
                <w:sz w:val="20"/>
                <w:szCs w:val="20"/>
              </w:rPr>
            </w:pPr>
            <w:r w:rsidRPr="00506B33">
              <w:rPr>
                <w:rFonts w:ascii="Arial" w:hAnsi="Arial" w:cs="Arial"/>
                <w:sz w:val="20"/>
                <w:szCs w:val="20"/>
              </w:rPr>
              <w:t>Stratégia RIS3 uvádza do praxe koncept inteligentnej špecializácie. Ako zdôrazňuje NÁVOD K RIS3 ((</w:t>
            </w:r>
            <w:hyperlink r:id="rId11" w:history="1">
              <w:r w:rsidRPr="00506B33">
                <w:rPr>
                  <w:rStyle w:val="Hypertextovprepojenie"/>
                  <w:rFonts w:ascii="Arial" w:hAnsi="Arial" w:cs="Arial"/>
                  <w:sz w:val="20"/>
                  <w:szCs w:val="20"/>
                </w:rPr>
                <w:t>http://s3platform.jrc.ec.europa.eu</w:t>
              </w:r>
            </w:hyperlink>
            <w:r w:rsidRPr="00506B33">
              <w:rPr>
                <w:rFonts w:ascii="Arial" w:hAnsi="Arial" w:cs="Arial"/>
                <w:sz w:val="20"/>
                <w:szCs w:val="20"/>
              </w:rPr>
              <w:t>), navrhovanie stratégie výskumu a inovácií pre inteligentnú špecializáciu – RIS3 – sa začína prijatím spoločnej vízie na premenu regionálneho hospodárstva na konkurencieschopnejšie a udržateľnejšie hospodárstvo v dlhodobom časovom horizonte. Jadro tohto procesu navrhovania tvorí definícia priorít hospodárskeho rozvoja založeného na znalostiach, identifikovaných na základe jedinečných silných stránok a potenciálov regiónu.</w:t>
            </w:r>
          </w:p>
          <w:p w:rsidR="0018238E" w:rsidRPr="00506B33" w:rsidRDefault="0018238E" w:rsidP="00E418F3">
            <w:pPr>
              <w:autoSpaceDE w:val="0"/>
              <w:autoSpaceDN w:val="0"/>
              <w:adjustRightInd w:val="0"/>
              <w:spacing w:beforeLines="20" w:before="48" w:afterLines="20" w:after="48"/>
              <w:rPr>
                <w:rFonts w:ascii="Arial" w:hAnsi="Arial" w:cs="Arial"/>
                <w:sz w:val="20"/>
                <w:szCs w:val="20"/>
              </w:rPr>
            </w:pPr>
            <w:r w:rsidRPr="00506B33">
              <w:rPr>
                <w:rFonts w:ascii="Arial" w:hAnsi="Arial" w:cs="Arial"/>
                <w:sz w:val="20"/>
                <w:szCs w:val="20"/>
              </w:rPr>
              <w:t>RIS 3 je podmienenosť ex-ante v rámci cieľa Investovanie do rastu a zamestnanosti, ale neplatí pre programy spolupráce v rámci zámeru EÚS.</w:t>
            </w:r>
          </w:p>
        </w:tc>
      </w:tr>
      <w:tr w:rsidR="0018238E" w:rsidRPr="00506B33" w:rsidTr="00034515">
        <w:tc>
          <w:tcPr>
            <w:tcW w:w="2376" w:type="dxa"/>
          </w:tcPr>
          <w:p w:rsidR="0018238E" w:rsidRPr="00506B33" w:rsidRDefault="0018238E" w:rsidP="00E418F3">
            <w:pPr>
              <w:autoSpaceDE w:val="0"/>
              <w:autoSpaceDN w:val="0"/>
              <w:adjustRightInd w:val="0"/>
              <w:spacing w:beforeLines="20" w:before="48" w:afterLines="20" w:after="48"/>
              <w:rPr>
                <w:rFonts w:ascii="Arial" w:hAnsi="Arial" w:cs="Arial"/>
                <w:b/>
                <w:sz w:val="20"/>
                <w:szCs w:val="20"/>
              </w:rPr>
            </w:pPr>
            <w:r w:rsidRPr="00506B33">
              <w:rPr>
                <w:rFonts w:ascii="Arial" w:hAnsi="Arial" w:cs="Arial"/>
                <w:b/>
                <w:sz w:val="20"/>
                <w:szCs w:val="20"/>
              </w:rPr>
              <w:t>Sociálne inovácie a inovácie služieb</w:t>
            </w:r>
          </w:p>
        </w:tc>
        <w:tc>
          <w:tcPr>
            <w:tcW w:w="6912" w:type="dxa"/>
          </w:tcPr>
          <w:p w:rsidR="0018238E" w:rsidRPr="00506B33" w:rsidRDefault="0018238E" w:rsidP="00E418F3">
            <w:pPr>
              <w:spacing w:beforeLines="20" w:before="48" w:afterLines="20" w:after="48"/>
              <w:rPr>
                <w:rFonts w:ascii="Arial" w:hAnsi="Arial" w:cs="Arial"/>
                <w:b/>
                <w:sz w:val="20"/>
                <w:szCs w:val="20"/>
              </w:rPr>
            </w:pPr>
            <w:r w:rsidRPr="00506B33">
              <w:rPr>
                <w:rFonts w:ascii="Arial" w:hAnsi="Arial" w:cs="Arial"/>
                <w:sz w:val="20"/>
                <w:szCs w:val="20"/>
              </w:rPr>
              <w:t>Sociálne inovácie a inovácie služieb možno definovať ako vývoj a implementáciu nových nápadov (výrobkov, služieb a modelov) na uspokojovanie sociálnych potrieb a vytváranie nových sociálnych vzťahov alebo spolupráce. Predstavujú nové reakcie na naliehavé sociálne požiadavky (napr. v súvislosti s demografickými zmenami). Veľa sociálnych inovácií má do činenia s inováciami služieb. Tieto zahŕňajú inovácie v službách a produktoch služieb, nové alebo vylepšené spôsoby navrhovania a produkcie služieb a inováciu v podnikoch, organizáciách a odvetviach poskytujúcich služby – organizačné inovácie a manažment procesov inovácie, v rámci organizácií poskytujúcich služby. Zahŕňa kultúrne a tvorivé odvetvia náročné na zamestnanosť a znalosti.</w:t>
            </w:r>
          </w:p>
        </w:tc>
      </w:tr>
      <w:tr w:rsidR="0018238E" w:rsidRPr="00506B33" w:rsidTr="00034515">
        <w:tc>
          <w:tcPr>
            <w:tcW w:w="2376" w:type="dxa"/>
          </w:tcPr>
          <w:p w:rsidR="0018238E" w:rsidRPr="00506B33" w:rsidRDefault="0018238E" w:rsidP="00E418F3">
            <w:pPr>
              <w:spacing w:beforeLines="20" w:before="48" w:afterLines="20" w:after="48"/>
              <w:rPr>
                <w:rFonts w:ascii="Arial" w:hAnsi="Arial" w:cs="Arial"/>
                <w:b/>
                <w:sz w:val="20"/>
                <w:szCs w:val="20"/>
              </w:rPr>
            </w:pPr>
            <w:r w:rsidRPr="00506B33">
              <w:rPr>
                <w:rFonts w:ascii="Arial" w:hAnsi="Arial" w:cs="Arial"/>
                <w:b/>
                <w:sz w:val="20"/>
                <w:szCs w:val="20"/>
              </w:rPr>
              <w:t>Systém duálneho vzdelávania</w:t>
            </w:r>
          </w:p>
        </w:tc>
        <w:tc>
          <w:tcPr>
            <w:tcW w:w="6912" w:type="dxa"/>
          </w:tcPr>
          <w:p w:rsidR="0018238E" w:rsidRPr="00506B33" w:rsidRDefault="0018238E" w:rsidP="00E418F3">
            <w:pPr>
              <w:spacing w:beforeLines="20" w:before="48" w:afterLines="20" w:after="48"/>
              <w:rPr>
                <w:rFonts w:ascii="Arial" w:hAnsi="Arial" w:cs="Arial"/>
                <w:sz w:val="20"/>
                <w:szCs w:val="20"/>
              </w:rPr>
            </w:pPr>
            <w:r w:rsidRPr="00506B33">
              <w:rPr>
                <w:rFonts w:ascii="Arial" w:hAnsi="Arial" w:cs="Arial"/>
                <w:sz w:val="20"/>
                <w:szCs w:val="20"/>
              </w:rPr>
              <w:t xml:space="preserve">Systém duálnej odbornej prípravy je odborná príprava učňovského typu, ktorá je kombináciou odbornej prípravy v </w:t>
            </w:r>
            <w:r w:rsidR="00D51BAC">
              <w:rPr>
                <w:rFonts w:ascii="Arial" w:hAnsi="Arial" w:cs="Arial"/>
                <w:sz w:val="20"/>
                <w:szCs w:val="20"/>
              </w:rPr>
              <w:t>podniku</w:t>
            </w:r>
            <w:r w:rsidRPr="00506B33">
              <w:rPr>
                <w:rFonts w:ascii="Arial" w:hAnsi="Arial" w:cs="Arial"/>
                <w:sz w:val="20"/>
                <w:szCs w:val="20"/>
              </w:rPr>
              <w:t xml:space="preserve"> a školskej odbornej prípravy. Je charakterizovaný praktickou odbornou prípravou spojenou so všeobecným vzdelávaním.</w:t>
            </w:r>
          </w:p>
          <w:p w:rsidR="0018238E" w:rsidRPr="00506B33" w:rsidRDefault="002E2C61" w:rsidP="00E418F3">
            <w:pPr>
              <w:pStyle w:val="Default"/>
              <w:spacing w:beforeLines="20" w:before="48" w:afterLines="20" w:after="48"/>
              <w:rPr>
                <w:b/>
                <w:sz w:val="20"/>
                <w:szCs w:val="20"/>
              </w:rPr>
            </w:pPr>
            <w:hyperlink r:id="rId12" w:history="1">
              <w:r w:rsidR="0018238E" w:rsidRPr="00506B33">
                <w:rPr>
                  <w:rStyle w:val="Hypertextovprepojenie"/>
                  <w:sz w:val="20"/>
                  <w:szCs w:val="20"/>
                </w:rPr>
                <w:t>http://ec.europa.eu/social/main.jsp?catId=1070&amp;langId=en&amp;newsId=1948&amp;moreDocuments=yes&amp;tableName=news</w:t>
              </w:r>
            </w:hyperlink>
            <w:r w:rsidR="0018238E" w:rsidRPr="00506B33">
              <w:rPr>
                <w:sz w:val="20"/>
                <w:szCs w:val="20"/>
              </w:rPr>
              <w:t xml:space="preserve"> (ZHRNUTIE PARTNERSKÉHO HODNOTENIA </w:t>
            </w:r>
            <w:r w:rsidR="00D51BAC">
              <w:rPr>
                <w:sz w:val="20"/>
                <w:szCs w:val="20"/>
              </w:rPr>
              <w:t>K</w:t>
            </w:r>
            <w:r w:rsidR="0018238E" w:rsidRPr="00506B33">
              <w:rPr>
                <w:sz w:val="20"/>
                <w:szCs w:val="20"/>
              </w:rPr>
              <w:t xml:space="preserve"> </w:t>
            </w:r>
            <w:r w:rsidR="0018238E" w:rsidRPr="00506B33">
              <w:rPr>
                <w:bCs/>
                <w:sz w:val="20"/>
                <w:szCs w:val="20"/>
              </w:rPr>
              <w:t>“Systém</w:t>
            </w:r>
            <w:r w:rsidR="00D51BAC">
              <w:rPr>
                <w:bCs/>
                <w:sz w:val="20"/>
                <w:szCs w:val="20"/>
              </w:rPr>
              <w:t>u</w:t>
            </w:r>
            <w:r w:rsidR="0018238E" w:rsidRPr="00506B33">
              <w:rPr>
                <w:bCs/>
                <w:sz w:val="20"/>
                <w:szCs w:val="20"/>
              </w:rPr>
              <w:t xml:space="preserve"> duálnej odbornej prípravy – integrácii mladých ľudí do trhu práce” Berlín, 24-25. septembra 2012)</w:t>
            </w:r>
          </w:p>
        </w:tc>
      </w:tr>
      <w:tr w:rsidR="0018238E" w:rsidRPr="00506B33" w:rsidTr="00034515">
        <w:tc>
          <w:tcPr>
            <w:tcW w:w="2376" w:type="dxa"/>
          </w:tcPr>
          <w:p w:rsidR="0018238E" w:rsidRPr="00506B33" w:rsidRDefault="0018238E" w:rsidP="00E418F3">
            <w:pPr>
              <w:spacing w:beforeLines="20" w:before="48" w:afterLines="20" w:after="48"/>
              <w:rPr>
                <w:rFonts w:ascii="Arial" w:hAnsi="Arial" w:cs="Arial"/>
                <w:b/>
                <w:sz w:val="20"/>
                <w:szCs w:val="20"/>
              </w:rPr>
            </w:pPr>
            <w:r w:rsidRPr="00506B33">
              <w:rPr>
                <w:rFonts w:ascii="Arial" w:hAnsi="Arial" w:cs="Arial"/>
                <w:b/>
                <w:sz w:val="20"/>
                <w:szCs w:val="20"/>
              </w:rPr>
              <w:lastRenderedPageBreak/>
              <w:t>Štvoritá špirála</w:t>
            </w:r>
          </w:p>
        </w:tc>
        <w:tc>
          <w:tcPr>
            <w:tcW w:w="6912" w:type="dxa"/>
          </w:tcPr>
          <w:p w:rsidR="0018238E" w:rsidRPr="00506B33" w:rsidRDefault="0018238E" w:rsidP="00E418F3">
            <w:pPr>
              <w:spacing w:beforeLines="20" w:before="48" w:afterLines="20" w:after="48"/>
              <w:rPr>
                <w:rFonts w:ascii="Arial" w:hAnsi="Arial" w:cs="Arial"/>
                <w:sz w:val="20"/>
                <w:szCs w:val="20"/>
              </w:rPr>
            </w:pPr>
            <w:r w:rsidRPr="00506B33">
              <w:rPr>
                <w:rFonts w:ascii="Arial" w:hAnsi="Arial" w:cs="Arial"/>
                <w:sz w:val="20"/>
                <w:szCs w:val="20"/>
              </w:rPr>
              <w:t>Štvoritá špirála je model spolupráce v oblasti inovácií alebo inovačné prostredie, v ktorom používatelia, podniky, univerzity a verejné orgány spolupracujú s cieľom produkovať inovácie. Štvoritá špirála označuje interakciu štyroch pilierov v inovačných ekosystémoch: znalostné inštitúcie, podniky, vláda a občianska spoločnosť. Tieto inovácie môžu byť čokoľvek, čo sa považuje za užitočné pre partnerov spolupráce v oblasti inovácií; môžu to byť napríklad technologické, sociálne, tovarové, komerčné, nekomerčné inovácie alebo inovácie v oblasti služieb.</w:t>
            </w:r>
          </w:p>
          <w:p w:rsidR="0018238E" w:rsidRPr="00506B33" w:rsidRDefault="002E2C61" w:rsidP="00E418F3">
            <w:pPr>
              <w:autoSpaceDE w:val="0"/>
              <w:autoSpaceDN w:val="0"/>
              <w:adjustRightInd w:val="0"/>
              <w:spacing w:beforeLines="20" w:before="48" w:afterLines="20" w:after="48"/>
              <w:rPr>
                <w:rFonts w:ascii="Arial" w:hAnsi="Arial" w:cs="Arial"/>
                <w:b/>
                <w:sz w:val="20"/>
                <w:szCs w:val="20"/>
              </w:rPr>
            </w:pPr>
            <w:hyperlink r:id="rId13" w:history="1">
              <w:r w:rsidR="0018238E" w:rsidRPr="00506B33">
                <w:rPr>
                  <w:rStyle w:val="Hypertextovprepojenie"/>
                  <w:rFonts w:ascii="Arial" w:hAnsi="Arial" w:cs="Arial"/>
                  <w:sz w:val="20"/>
                  <w:szCs w:val="20"/>
                </w:rPr>
                <w:t>http://www.cliqproject.eu/en/products/research/quadruple_helix_research/?id=127&amp;folderId=175&amp;fileId=1012&amp;key=adb812d8e220ec363aac5e1c3a83edf3</w:t>
              </w:r>
            </w:hyperlink>
            <w:r w:rsidR="0018238E" w:rsidRPr="00506B33">
              <w:rPr>
                <w:rFonts w:ascii="Arial" w:hAnsi="Arial" w:cs="Arial"/>
                <w:color w:val="000000"/>
                <w:sz w:val="20"/>
                <w:szCs w:val="20"/>
              </w:rPr>
              <w:t xml:space="preserve"> (PDF správa Skúmanie štvoritej špirály)</w:t>
            </w:r>
          </w:p>
        </w:tc>
      </w:tr>
      <w:tr w:rsidR="0018238E" w:rsidRPr="00506B33" w:rsidTr="007C00F3">
        <w:tc>
          <w:tcPr>
            <w:tcW w:w="2376" w:type="dxa"/>
          </w:tcPr>
          <w:p w:rsidR="0018238E" w:rsidRPr="00506B33" w:rsidRDefault="0018238E" w:rsidP="00E418F3">
            <w:pPr>
              <w:spacing w:beforeLines="20" w:before="48" w:afterLines="20" w:after="48"/>
              <w:jc w:val="both"/>
              <w:rPr>
                <w:rFonts w:ascii="Arial" w:hAnsi="Arial" w:cs="Arial"/>
                <w:b/>
                <w:sz w:val="20"/>
                <w:szCs w:val="20"/>
              </w:rPr>
            </w:pPr>
            <w:r w:rsidRPr="00506B33">
              <w:rPr>
                <w:rFonts w:ascii="Arial" w:hAnsi="Arial" w:cs="Arial"/>
                <w:b/>
                <w:sz w:val="20"/>
                <w:szCs w:val="20"/>
              </w:rPr>
              <w:t>Tvorivé odvetvia</w:t>
            </w:r>
          </w:p>
        </w:tc>
        <w:tc>
          <w:tcPr>
            <w:tcW w:w="6912" w:type="dxa"/>
          </w:tcPr>
          <w:p w:rsidR="0018238E" w:rsidRPr="00506B33" w:rsidRDefault="0018238E" w:rsidP="00E418F3">
            <w:pPr>
              <w:spacing w:beforeLines="20" w:before="48" w:afterLines="20" w:after="48"/>
              <w:rPr>
                <w:rFonts w:ascii="Arial" w:hAnsi="Arial" w:cs="Arial"/>
                <w:b/>
                <w:sz w:val="20"/>
                <w:szCs w:val="20"/>
              </w:rPr>
            </w:pPr>
            <w:r w:rsidRPr="00506B33">
              <w:rPr>
                <w:rFonts w:ascii="Arial" w:hAnsi="Arial" w:cs="Arial"/>
                <w:color w:val="000000"/>
                <w:sz w:val="20"/>
                <w:szCs w:val="20"/>
              </w:rPr>
              <w:t>UNESCO definuje kultúrne a tvorivé odvetvia ako “sektory organizovanej aktivity, ktorej základným účelom je produkcia alebo reprodukcia, propagácia, distribúcia a/alebo komercializácia tovarov, služieb a aktivít kultúrnej alebo umeleckej povahy alebo povahy týkajúcej sa dedičstva.” Tento prístup kladie dôraz na viac než len priemyselne vyr</w:t>
            </w:r>
            <w:r w:rsidR="00D51BAC">
              <w:rPr>
                <w:rFonts w:ascii="Arial" w:hAnsi="Arial" w:cs="Arial"/>
                <w:color w:val="000000"/>
                <w:sz w:val="20"/>
                <w:szCs w:val="20"/>
              </w:rPr>
              <w:t>á</w:t>
            </w:r>
            <w:r w:rsidRPr="00506B33">
              <w:rPr>
                <w:rFonts w:ascii="Arial" w:hAnsi="Arial" w:cs="Arial"/>
                <w:color w:val="000000"/>
                <w:sz w:val="20"/>
                <w:szCs w:val="20"/>
              </w:rPr>
              <w:t>b</w:t>
            </w:r>
            <w:r w:rsidR="00D51BAC">
              <w:rPr>
                <w:rFonts w:ascii="Arial" w:hAnsi="Arial" w:cs="Arial"/>
                <w:color w:val="000000"/>
                <w:sz w:val="20"/>
                <w:szCs w:val="20"/>
              </w:rPr>
              <w:t>a</w:t>
            </w:r>
            <w:r w:rsidRPr="00506B33">
              <w:rPr>
                <w:rFonts w:ascii="Arial" w:hAnsi="Arial" w:cs="Arial"/>
                <w:color w:val="000000"/>
                <w:sz w:val="20"/>
                <w:szCs w:val="20"/>
              </w:rPr>
              <w:t xml:space="preserve">né výrobky ľudskej tvorivosti, relevantným robí celý produktívny reťazec a konkrétne funkcie každého sektora zapojeného do odovzdávania týchto výtvorov verejnosti. </w:t>
            </w:r>
            <w:hyperlink r:id="rId14" w:history="1">
              <w:r w:rsidRPr="00506B33">
                <w:rPr>
                  <w:rStyle w:val="Hypertextovprepojenie"/>
                  <w:rFonts w:ascii="Arial" w:hAnsi="Arial" w:cs="Arial"/>
                  <w:sz w:val="20"/>
                  <w:szCs w:val="20"/>
                </w:rPr>
                <w:t>http://www.unesco.org/new/en/santiago/culture/creative-industries/</w:t>
              </w:r>
            </w:hyperlink>
            <w:r w:rsidRPr="00506B33">
              <w:rPr>
                <w:rFonts w:ascii="Arial" w:hAnsi="Arial" w:cs="Arial"/>
                <w:sz w:val="20"/>
                <w:szCs w:val="20"/>
              </w:rPr>
              <w:t xml:space="preserve"> </w:t>
            </w:r>
            <w:r w:rsidRPr="00506B33">
              <w:rPr>
                <w:rFonts w:ascii="Arial" w:hAnsi="Arial" w:cs="Arial"/>
                <w:color w:val="000000"/>
                <w:sz w:val="20"/>
                <w:szCs w:val="20"/>
              </w:rPr>
              <w:t>(Organizácia Spojených národov pre vzdelávanie, vedu a kultúru (UNESCO))</w:t>
            </w:r>
          </w:p>
        </w:tc>
      </w:tr>
      <w:tr w:rsidR="0018238E" w:rsidRPr="00506B33" w:rsidTr="00034515">
        <w:tc>
          <w:tcPr>
            <w:tcW w:w="2376" w:type="dxa"/>
          </w:tcPr>
          <w:p w:rsidR="0018238E" w:rsidRPr="00506B33" w:rsidRDefault="0018238E" w:rsidP="00E418F3">
            <w:pPr>
              <w:autoSpaceDE w:val="0"/>
              <w:autoSpaceDN w:val="0"/>
              <w:adjustRightInd w:val="0"/>
              <w:spacing w:beforeLines="20" w:before="48" w:afterLines="20" w:after="48"/>
              <w:rPr>
                <w:rFonts w:ascii="Arial" w:hAnsi="Arial" w:cs="Arial"/>
                <w:b/>
                <w:sz w:val="20"/>
                <w:szCs w:val="20"/>
              </w:rPr>
            </w:pPr>
            <w:r w:rsidRPr="00506B33">
              <w:rPr>
                <w:rFonts w:ascii="Arial" w:hAnsi="Arial" w:cs="Arial"/>
                <w:b/>
                <w:sz w:val="20"/>
                <w:szCs w:val="20"/>
              </w:rPr>
              <w:t>Zelené infraštruktúry</w:t>
            </w:r>
          </w:p>
          <w:p w:rsidR="0018238E" w:rsidRPr="00506B33" w:rsidRDefault="0018238E" w:rsidP="00E418F3">
            <w:pPr>
              <w:autoSpaceDE w:val="0"/>
              <w:autoSpaceDN w:val="0"/>
              <w:adjustRightInd w:val="0"/>
              <w:spacing w:beforeLines="20" w:before="48" w:afterLines="20" w:after="48"/>
              <w:rPr>
                <w:rFonts w:ascii="Arial" w:hAnsi="Arial" w:cs="Arial"/>
                <w:b/>
                <w:sz w:val="20"/>
                <w:szCs w:val="20"/>
                <w:highlight w:val="yellow"/>
              </w:rPr>
            </w:pPr>
          </w:p>
          <w:p w:rsidR="0018238E" w:rsidRPr="00506B33" w:rsidRDefault="0018238E" w:rsidP="00E418F3">
            <w:pPr>
              <w:autoSpaceDE w:val="0"/>
              <w:autoSpaceDN w:val="0"/>
              <w:adjustRightInd w:val="0"/>
              <w:spacing w:beforeLines="20" w:before="48" w:afterLines="20" w:after="48"/>
              <w:rPr>
                <w:rFonts w:ascii="Arial" w:hAnsi="Arial" w:cs="Arial"/>
                <w:b/>
                <w:sz w:val="20"/>
                <w:szCs w:val="20"/>
                <w:highlight w:val="yellow"/>
              </w:rPr>
            </w:pPr>
          </w:p>
        </w:tc>
        <w:tc>
          <w:tcPr>
            <w:tcW w:w="6912" w:type="dxa"/>
          </w:tcPr>
          <w:p w:rsidR="0018238E" w:rsidRPr="00506B33" w:rsidRDefault="0018238E" w:rsidP="00E418F3">
            <w:pPr>
              <w:autoSpaceDE w:val="0"/>
              <w:autoSpaceDN w:val="0"/>
              <w:adjustRightInd w:val="0"/>
              <w:spacing w:beforeLines="20" w:before="48" w:afterLines="20" w:after="48"/>
              <w:rPr>
                <w:rFonts w:ascii="Arial" w:eastAsia="ECSquareSansPro" w:hAnsi="Arial" w:cs="Arial"/>
                <w:sz w:val="20"/>
                <w:szCs w:val="20"/>
              </w:rPr>
            </w:pPr>
            <w:r w:rsidRPr="00506B33">
              <w:rPr>
                <w:rFonts w:ascii="Arial" w:eastAsia="ECSquareSansPro" w:hAnsi="Arial" w:cs="Arial"/>
                <w:sz w:val="20"/>
                <w:szCs w:val="20"/>
              </w:rPr>
              <w:t xml:space="preserve">Zelenú infraštruktúru možno zhruba definovať ako strategicky plánovanú sieť vysokokvalitných prírodných a </w:t>
            </w:r>
            <w:proofErr w:type="spellStart"/>
            <w:r w:rsidRPr="00506B33">
              <w:rPr>
                <w:rFonts w:ascii="Arial" w:eastAsia="ECSquareSansPro" w:hAnsi="Arial" w:cs="Arial"/>
                <w:sz w:val="20"/>
                <w:szCs w:val="20"/>
              </w:rPr>
              <w:t>poloprírodných</w:t>
            </w:r>
            <w:proofErr w:type="spellEnd"/>
            <w:r w:rsidRPr="00506B33">
              <w:rPr>
                <w:rFonts w:ascii="Arial" w:eastAsia="ECSquareSansPro" w:hAnsi="Arial" w:cs="Arial"/>
                <w:sz w:val="20"/>
                <w:szCs w:val="20"/>
              </w:rPr>
              <w:t xml:space="preserve"> oblastí s inými environmentálnymi prvkami, ktorá je navrhnutá a riadená tak, aby poskytovala širokú škálu ekosystémových služieb a chránila biodiverzitu vo vidieckom aj mestskom prostredí. Termín “Zelené infraštruktúry” by sa nemal zamieňať s hmatateľnou fyzickou infraštruktúrou.</w:t>
            </w:r>
          </w:p>
          <w:p w:rsidR="0018238E" w:rsidRPr="00506B33" w:rsidRDefault="002E2C61" w:rsidP="00E418F3">
            <w:pPr>
              <w:autoSpaceDE w:val="0"/>
              <w:autoSpaceDN w:val="0"/>
              <w:adjustRightInd w:val="0"/>
              <w:spacing w:beforeLines="20" w:before="48" w:afterLines="20" w:after="48"/>
              <w:rPr>
                <w:rFonts w:ascii="Arial" w:hAnsi="Arial" w:cs="Arial"/>
                <w:sz w:val="20"/>
                <w:szCs w:val="20"/>
                <w:highlight w:val="yellow"/>
              </w:rPr>
            </w:pPr>
            <w:hyperlink r:id="rId15" w:history="1">
              <w:r w:rsidR="0018238E" w:rsidRPr="00506B33">
                <w:rPr>
                  <w:rStyle w:val="Hypertextovprepojenie"/>
                  <w:rFonts w:ascii="Arial" w:hAnsi="Arial" w:cs="Arial"/>
                  <w:b/>
                  <w:sz w:val="20"/>
                  <w:szCs w:val="20"/>
                </w:rPr>
                <w:t>http://ec.europa.eu/environment/nature/ecosystems/docs/green_infrastructure_broc.pdf</w:t>
              </w:r>
            </w:hyperlink>
            <w:r w:rsidR="0018238E" w:rsidRPr="00506B33">
              <w:rPr>
                <w:rFonts w:ascii="Arial" w:hAnsi="Arial" w:cs="Arial"/>
                <w:sz w:val="20"/>
                <w:szCs w:val="20"/>
              </w:rPr>
              <w:t xml:space="preserve"> (Budovanie zelenej infraštruktúry pre Európu)</w:t>
            </w:r>
          </w:p>
        </w:tc>
      </w:tr>
    </w:tbl>
    <w:p w:rsidR="0018238E" w:rsidRPr="00506B33" w:rsidRDefault="0018238E" w:rsidP="002678AD">
      <w:pPr>
        <w:autoSpaceDE w:val="0"/>
        <w:autoSpaceDN w:val="0"/>
        <w:adjustRightInd w:val="0"/>
        <w:spacing w:after="0" w:line="240" w:lineRule="auto"/>
        <w:rPr>
          <w:rFonts w:ascii="Arial" w:hAnsi="Arial" w:cs="Arial"/>
          <w:sz w:val="20"/>
          <w:szCs w:val="20"/>
        </w:rPr>
      </w:pPr>
    </w:p>
    <w:sectPr w:rsidR="0018238E" w:rsidRPr="00506B33" w:rsidSect="003D4CF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CSquareSansPro">
    <w:altName w:val="MS Gothic"/>
    <w:panose1 w:val="00000000000000000000"/>
    <w:charset w:val="80"/>
    <w:family w:val="swiss"/>
    <w:notTrueType/>
    <w:pitch w:val="default"/>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32D35"/>
    <w:multiLevelType w:val="hybridMultilevel"/>
    <w:tmpl w:val="5B66AACA"/>
    <w:lvl w:ilvl="0" w:tplc="9BE89FA8">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3BBC6932"/>
    <w:multiLevelType w:val="hybridMultilevel"/>
    <w:tmpl w:val="2530E75E"/>
    <w:lvl w:ilvl="0" w:tplc="9C087752">
      <w:start w:val="1"/>
      <w:numFmt w:val="bullet"/>
      <w:pStyle w:val="maufzhlung"/>
      <w:lvlText w:val=""/>
      <w:lvlJc w:val="left"/>
      <w:pPr>
        <w:tabs>
          <w:tab w:val="num" w:pos="5322"/>
        </w:tabs>
        <w:ind w:left="5245" w:hanging="283"/>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CE0"/>
    <w:rsid w:val="000136B2"/>
    <w:rsid w:val="00013825"/>
    <w:rsid w:val="00025698"/>
    <w:rsid w:val="00031819"/>
    <w:rsid w:val="00034515"/>
    <w:rsid w:val="00054E99"/>
    <w:rsid w:val="000633ED"/>
    <w:rsid w:val="00070722"/>
    <w:rsid w:val="000B4E8C"/>
    <w:rsid w:val="000B5416"/>
    <w:rsid w:val="000B6A6D"/>
    <w:rsid w:val="000E5947"/>
    <w:rsid w:val="00101C6B"/>
    <w:rsid w:val="00104DD3"/>
    <w:rsid w:val="00162206"/>
    <w:rsid w:val="00173102"/>
    <w:rsid w:val="0018238E"/>
    <w:rsid w:val="00186E4E"/>
    <w:rsid w:val="001949D5"/>
    <w:rsid w:val="00217800"/>
    <w:rsid w:val="002260A2"/>
    <w:rsid w:val="00232FC5"/>
    <w:rsid w:val="00235379"/>
    <w:rsid w:val="002663E5"/>
    <w:rsid w:val="002678AD"/>
    <w:rsid w:val="002700B5"/>
    <w:rsid w:val="00277532"/>
    <w:rsid w:val="002A203D"/>
    <w:rsid w:val="002A7385"/>
    <w:rsid w:val="002B12D8"/>
    <w:rsid w:val="002D1CE0"/>
    <w:rsid w:val="002E2C61"/>
    <w:rsid w:val="002F6E91"/>
    <w:rsid w:val="00323341"/>
    <w:rsid w:val="003919A5"/>
    <w:rsid w:val="00397183"/>
    <w:rsid w:val="003A59C0"/>
    <w:rsid w:val="003B2D2E"/>
    <w:rsid w:val="003D206C"/>
    <w:rsid w:val="003D4CF4"/>
    <w:rsid w:val="003E3333"/>
    <w:rsid w:val="0041009B"/>
    <w:rsid w:val="00435D5A"/>
    <w:rsid w:val="0046696B"/>
    <w:rsid w:val="004A17BA"/>
    <w:rsid w:val="004B7D85"/>
    <w:rsid w:val="004F6F12"/>
    <w:rsid w:val="00501AEC"/>
    <w:rsid w:val="00506B33"/>
    <w:rsid w:val="005514A6"/>
    <w:rsid w:val="0055284D"/>
    <w:rsid w:val="00571C56"/>
    <w:rsid w:val="005F0A50"/>
    <w:rsid w:val="006031A8"/>
    <w:rsid w:val="00660423"/>
    <w:rsid w:val="006767A8"/>
    <w:rsid w:val="006C0986"/>
    <w:rsid w:val="0075759F"/>
    <w:rsid w:val="007948E5"/>
    <w:rsid w:val="007A1CBE"/>
    <w:rsid w:val="007C13A2"/>
    <w:rsid w:val="007D61F8"/>
    <w:rsid w:val="007E4A13"/>
    <w:rsid w:val="00821056"/>
    <w:rsid w:val="00892237"/>
    <w:rsid w:val="008C29B0"/>
    <w:rsid w:val="008F17AA"/>
    <w:rsid w:val="009016CC"/>
    <w:rsid w:val="00904C2B"/>
    <w:rsid w:val="009107AC"/>
    <w:rsid w:val="00912922"/>
    <w:rsid w:val="0097468D"/>
    <w:rsid w:val="009778C8"/>
    <w:rsid w:val="009B56DF"/>
    <w:rsid w:val="00A07E3B"/>
    <w:rsid w:val="00A36FA1"/>
    <w:rsid w:val="00A46F5C"/>
    <w:rsid w:val="00A90D74"/>
    <w:rsid w:val="00AE33AC"/>
    <w:rsid w:val="00AF0DB9"/>
    <w:rsid w:val="00AF31FD"/>
    <w:rsid w:val="00B401DA"/>
    <w:rsid w:val="00B410EC"/>
    <w:rsid w:val="00B46ADF"/>
    <w:rsid w:val="00B51C00"/>
    <w:rsid w:val="00B57430"/>
    <w:rsid w:val="00B75E2C"/>
    <w:rsid w:val="00B837EE"/>
    <w:rsid w:val="00BB51EE"/>
    <w:rsid w:val="00BB719E"/>
    <w:rsid w:val="00BC5B93"/>
    <w:rsid w:val="00BE071D"/>
    <w:rsid w:val="00BF4778"/>
    <w:rsid w:val="00C75312"/>
    <w:rsid w:val="00C76574"/>
    <w:rsid w:val="00C92823"/>
    <w:rsid w:val="00C92AF9"/>
    <w:rsid w:val="00CE7BE5"/>
    <w:rsid w:val="00D27121"/>
    <w:rsid w:val="00D35927"/>
    <w:rsid w:val="00D51BAC"/>
    <w:rsid w:val="00D51C5B"/>
    <w:rsid w:val="00D533D5"/>
    <w:rsid w:val="00D70D6D"/>
    <w:rsid w:val="00D81A54"/>
    <w:rsid w:val="00D867A3"/>
    <w:rsid w:val="00D92547"/>
    <w:rsid w:val="00D95572"/>
    <w:rsid w:val="00D95EC8"/>
    <w:rsid w:val="00E126A8"/>
    <w:rsid w:val="00E418F3"/>
    <w:rsid w:val="00E6699F"/>
    <w:rsid w:val="00E84AA4"/>
    <w:rsid w:val="00E94797"/>
    <w:rsid w:val="00E959A5"/>
    <w:rsid w:val="00E96EAF"/>
    <w:rsid w:val="00ED5120"/>
    <w:rsid w:val="00F17890"/>
    <w:rsid w:val="00F25197"/>
    <w:rsid w:val="00F37C9E"/>
    <w:rsid w:val="00F420E6"/>
    <w:rsid w:val="00F43337"/>
    <w:rsid w:val="00F72FE0"/>
    <w:rsid w:val="00FA6368"/>
    <w:rsid w:val="00FB7987"/>
    <w:rsid w:val="00FD547D"/>
    <w:rsid w:val="00FE622A"/>
    <w:rsid w:val="00FE6D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4A17BA"/>
    <w:rPr>
      <w:color w:val="0000FF" w:themeColor="hyperlink"/>
      <w:u w:val="single"/>
    </w:rPr>
  </w:style>
  <w:style w:type="paragraph" w:styleId="Textbubliny">
    <w:name w:val="Balloon Text"/>
    <w:basedOn w:val="Normlny"/>
    <w:link w:val="TextbublinyChar"/>
    <w:uiPriority w:val="99"/>
    <w:semiHidden/>
    <w:unhideWhenUsed/>
    <w:rsid w:val="00BB51EE"/>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B51EE"/>
    <w:rPr>
      <w:rFonts w:ascii="Tahoma" w:hAnsi="Tahoma" w:cs="Tahoma"/>
      <w:sz w:val="16"/>
      <w:szCs w:val="16"/>
    </w:rPr>
  </w:style>
  <w:style w:type="paragraph" w:customStyle="1" w:styleId="Default">
    <w:name w:val="Default"/>
    <w:rsid w:val="00660423"/>
    <w:pPr>
      <w:autoSpaceDE w:val="0"/>
      <w:autoSpaceDN w:val="0"/>
      <w:adjustRightInd w:val="0"/>
      <w:spacing w:after="0" w:line="240" w:lineRule="auto"/>
    </w:pPr>
    <w:rPr>
      <w:rFonts w:ascii="Arial" w:hAnsi="Arial" w:cs="Arial"/>
      <w:color w:val="000000"/>
      <w:sz w:val="24"/>
      <w:szCs w:val="24"/>
    </w:rPr>
  </w:style>
  <w:style w:type="character" w:styleId="Siln">
    <w:name w:val="Strong"/>
    <w:basedOn w:val="Predvolenpsmoodseku"/>
    <w:uiPriority w:val="22"/>
    <w:qFormat/>
    <w:rsid w:val="00FB7987"/>
    <w:rPr>
      <w:b/>
      <w:bCs/>
    </w:rPr>
  </w:style>
  <w:style w:type="character" w:styleId="PouitHypertextovPrepojenie">
    <w:name w:val="FollowedHyperlink"/>
    <w:basedOn w:val="Predvolenpsmoodseku"/>
    <w:uiPriority w:val="99"/>
    <w:semiHidden/>
    <w:unhideWhenUsed/>
    <w:rsid w:val="00FE622A"/>
    <w:rPr>
      <w:color w:val="800080" w:themeColor="followedHyperlink"/>
      <w:u w:val="single"/>
    </w:rPr>
  </w:style>
  <w:style w:type="paragraph" w:customStyle="1" w:styleId="maufzhlung">
    <w:name w:val="m_aufzählung"/>
    <w:rsid w:val="00D70D6D"/>
    <w:pPr>
      <w:numPr>
        <w:numId w:val="1"/>
      </w:numPr>
      <w:tabs>
        <w:tab w:val="left" w:pos="567"/>
      </w:tabs>
      <w:spacing w:before="60" w:after="0" w:line="220" w:lineRule="atLeast"/>
      <w:jc w:val="both"/>
    </w:pPr>
    <w:rPr>
      <w:rFonts w:ascii="Arial" w:eastAsia="Times New Roman" w:hAnsi="Arial" w:cs="Times New Roman"/>
      <w:sz w:val="20"/>
      <w:szCs w:val="20"/>
      <w:lang w:eastAsia="de-DE"/>
    </w:rPr>
  </w:style>
  <w:style w:type="table" w:styleId="Mriekatabuky">
    <w:name w:val="Table Grid"/>
    <w:basedOn w:val="Normlnatabuka"/>
    <w:uiPriority w:val="59"/>
    <w:rsid w:val="00C92A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E418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4A17BA"/>
    <w:rPr>
      <w:color w:val="0000FF" w:themeColor="hyperlink"/>
      <w:u w:val="single"/>
    </w:rPr>
  </w:style>
  <w:style w:type="paragraph" w:styleId="Textbubliny">
    <w:name w:val="Balloon Text"/>
    <w:basedOn w:val="Normlny"/>
    <w:link w:val="TextbublinyChar"/>
    <w:uiPriority w:val="99"/>
    <w:semiHidden/>
    <w:unhideWhenUsed/>
    <w:rsid w:val="00BB51EE"/>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B51EE"/>
    <w:rPr>
      <w:rFonts w:ascii="Tahoma" w:hAnsi="Tahoma" w:cs="Tahoma"/>
      <w:sz w:val="16"/>
      <w:szCs w:val="16"/>
    </w:rPr>
  </w:style>
  <w:style w:type="paragraph" w:customStyle="1" w:styleId="Default">
    <w:name w:val="Default"/>
    <w:rsid w:val="00660423"/>
    <w:pPr>
      <w:autoSpaceDE w:val="0"/>
      <w:autoSpaceDN w:val="0"/>
      <w:adjustRightInd w:val="0"/>
      <w:spacing w:after="0" w:line="240" w:lineRule="auto"/>
    </w:pPr>
    <w:rPr>
      <w:rFonts w:ascii="Arial" w:hAnsi="Arial" w:cs="Arial"/>
      <w:color w:val="000000"/>
      <w:sz w:val="24"/>
      <w:szCs w:val="24"/>
    </w:rPr>
  </w:style>
  <w:style w:type="character" w:styleId="Siln">
    <w:name w:val="Strong"/>
    <w:basedOn w:val="Predvolenpsmoodseku"/>
    <w:uiPriority w:val="22"/>
    <w:qFormat/>
    <w:rsid w:val="00FB7987"/>
    <w:rPr>
      <w:b/>
      <w:bCs/>
    </w:rPr>
  </w:style>
  <w:style w:type="character" w:styleId="PouitHypertextovPrepojenie">
    <w:name w:val="FollowedHyperlink"/>
    <w:basedOn w:val="Predvolenpsmoodseku"/>
    <w:uiPriority w:val="99"/>
    <w:semiHidden/>
    <w:unhideWhenUsed/>
    <w:rsid w:val="00FE622A"/>
    <w:rPr>
      <w:color w:val="800080" w:themeColor="followedHyperlink"/>
      <w:u w:val="single"/>
    </w:rPr>
  </w:style>
  <w:style w:type="paragraph" w:customStyle="1" w:styleId="maufzhlung">
    <w:name w:val="m_aufzählung"/>
    <w:rsid w:val="00D70D6D"/>
    <w:pPr>
      <w:numPr>
        <w:numId w:val="1"/>
      </w:numPr>
      <w:tabs>
        <w:tab w:val="left" w:pos="567"/>
      </w:tabs>
      <w:spacing w:before="60" w:after="0" w:line="220" w:lineRule="atLeast"/>
      <w:jc w:val="both"/>
    </w:pPr>
    <w:rPr>
      <w:rFonts w:ascii="Arial" w:eastAsia="Times New Roman" w:hAnsi="Arial" w:cs="Times New Roman"/>
      <w:sz w:val="20"/>
      <w:szCs w:val="20"/>
      <w:lang w:eastAsia="de-DE"/>
    </w:rPr>
  </w:style>
  <w:style w:type="table" w:styleId="Mriekatabuky">
    <w:name w:val="Table Grid"/>
    <w:basedOn w:val="Normlnatabuka"/>
    <w:uiPriority w:val="59"/>
    <w:rsid w:val="00C92A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E418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8049058">
      <w:bodyDiv w:val="1"/>
      <w:marLeft w:val="0"/>
      <w:marRight w:val="0"/>
      <w:marTop w:val="0"/>
      <w:marBottom w:val="0"/>
      <w:divBdr>
        <w:top w:val="none" w:sz="0" w:space="0" w:color="auto"/>
        <w:left w:val="none" w:sz="0" w:space="0" w:color="auto"/>
        <w:bottom w:val="none" w:sz="0" w:space="0" w:color="auto"/>
        <w:right w:val="none" w:sz="0" w:space="0" w:color="auto"/>
      </w:divBdr>
      <w:divsChild>
        <w:div w:id="1493138122">
          <w:marLeft w:val="0"/>
          <w:marRight w:val="0"/>
          <w:marTop w:val="0"/>
          <w:marBottom w:val="0"/>
          <w:divBdr>
            <w:top w:val="none" w:sz="0" w:space="0" w:color="auto"/>
            <w:left w:val="none" w:sz="0" w:space="0" w:color="auto"/>
            <w:bottom w:val="none" w:sz="0" w:space="0" w:color="auto"/>
            <w:right w:val="none" w:sz="0" w:space="0" w:color="auto"/>
          </w:divBdr>
          <w:divsChild>
            <w:div w:id="1723673171">
              <w:marLeft w:val="0"/>
              <w:marRight w:val="0"/>
              <w:marTop w:val="0"/>
              <w:marBottom w:val="0"/>
              <w:divBdr>
                <w:top w:val="none" w:sz="0" w:space="0" w:color="auto"/>
                <w:left w:val="none" w:sz="0" w:space="0" w:color="auto"/>
                <w:bottom w:val="none" w:sz="0" w:space="0" w:color="auto"/>
                <w:right w:val="none" w:sz="0" w:space="0" w:color="auto"/>
              </w:divBdr>
              <w:divsChild>
                <w:div w:id="1286816021">
                  <w:marLeft w:val="0"/>
                  <w:marRight w:val="0"/>
                  <w:marTop w:val="0"/>
                  <w:marBottom w:val="0"/>
                  <w:divBdr>
                    <w:top w:val="none" w:sz="0" w:space="0" w:color="auto"/>
                    <w:left w:val="none" w:sz="0" w:space="0" w:color="auto"/>
                    <w:bottom w:val="none" w:sz="0" w:space="0" w:color="auto"/>
                    <w:right w:val="none" w:sz="0" w:space="0" w:color="auto"/>
                  </w:divBdr>
                  <w:divsChild>
                    <w:div w:id="30666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nterprise/policies/sme/files/sme_definition/sme_user_guide_en.pdf" TargetMode="External"/><Relationship Id="rId13" Type="http://schemas.openxmlformats.org/officeDocument/2006/relationships/hyperlink" Target="http://www.cliqproject.eu/en/products/research/quadruple_helix_research/?id=127&amp;folderId=175&amp;fileId=1012&amp;key=adb812d8e220ec363aac5e1c3a83edf3" TargetMode="External"/><Relationship Id="rId3" Type="http://schemas.microsoft.com/office/2007/relationships/stylesWithEffects" Target="stylesWithEffects.xml"/><Relationship Id="rId7" Type="http://schemas.openxmlformats.org/officeDocument/2006/relationships/hyperlink" Target="http://www.3c4incubators.eu/wp-content/uploads/2014/02/ICE-Sustainability-Model.pdf" TargetMode="External"/><Relationship Id="rId12" Type="http://schemas.openxmlformats.org/officeDocument/2006/relationships/hyperlink" Target="http://ec.europa.eu/social/main.jsp?catId=1070&amp;langId=en&amp;newsId=1948&amp;moreDocuments=yes&amp;tableName=new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biodiversity.europa.eu/topics/ecosystem-services" TargetMode="External"/><Relationship Id="rId11" Type="http://schemas.openxmlformats.org/officeDocument/2006/relationships/hyperlink" Target="http://s3platform.jrc.ec.europa.eu" TargetMode="External"/><Relationship Id="rId5" Type="http://schemas.openxmlformats.org/officeDocument/2006/relationships/webSettings" Target="webSettings.xml"/><Relationship Id="rId15" Type="http://schemas.openxmlformats.org/officeDocument/2006/relationships/hyperlink" Target="http://ec.europa.eu/environment/nature/ecosystems/docs/green_infrastructure_broc.pdf" TargetMode="External"/><Relationship Id="rId10" Type="http://schemas.openxmlformats.org/officeDocument/2006/relationships/hyperlink" Target="http://www.seupb.eu/programmes2007-2013/interreg-overview/FirstLevelofControl.aspx" TargetMode="External"/><Relationship Id="rId4" Type="http://schemas.openxmlformats.org/officeDocument/2006/relationships/settings" Target="settings.xml"/><Relationship Id="rId9" Type="http://schemas.openxmlformats.org/officeDocument/2006/relationships/hyperlink" Target="http://www.cedefop.europa.eu/EN/Files/4064_en.pdf" TargetMode="External"/><Relationship Id="rId14" Type="http://schemas.openxmlformats.org/officeDocument/2006/relationships/hyperlink" Target="http://www.unesco.org/new/en/santiago/culture/creative-industries/"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1534</Words>
  <Characters>8744</Characters>
  <Application>Microsoft Office Word</Application>
  <DocSecurity>0</DocSecurity>
  <Lines>72</Lines>
  <Paragraphs>20</Paragraphs>
  <ScaleCrop>false</ScaleCrop>
  <HeadingPairs>
    <vt:vector size="6" baseType="variant">
      <vt:variant>
        <vt:lpstr>Názov</vt:lpstr>
      </vt:variant>
      <vt:variant>
        <vt:i4>1</vt:i4>
      </vt:variant>
      <vt:variant>
        <vt:lpstr>Název</vt:lpstr>
      </vt:variant>
      <vt:variant>
        <vt:i4>1</vt:i4>
      </vt:variant>
      <vt:variant>
        <vt:lpstr>Titel</vt:lpstr>
      </vt:variant>
      <vt:variant>
        <vt:i4>1</vt:i4>
      </vt:variant>
    </vt:vector>
  </HeadingPairs>
  <TitlesOfParts>
    <vt:vector size="3" baseType="lpstr">
      <vt:lpstr/>
      <vt:lpstr/>
      <vt:lpstr/>
    </vt:vector>
  </TitlesOfParts>
  <Company>Metis Vienna</Company>
  <LinksUpToDate>false</LinksUpToDate>
  <CharactersWithSpaces>10258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Dax</dc:creator>
  <cp:lastModifiedBy>Koločány František</cp:lastModifiedBy>
  <cp:revision>2</cp:revision>
  <dcterms:created xsi:type="dcterms:W3CDTF">2014-12-15T12:35:00Z</dcterms:created>
  <dcterms:modified xsi:type="dcterms:W3CDTF">2014-12-15T12:35:00Z</dcterms:modified>
</cp:coreProperties>
</file>